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1921D55" w:rsidR="0092193A" w:rsidRPr="0097651D" w:rsidRDefault="005F06BE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- Solactive Gold &amp; Silver Miners US Listing Carbon Tilted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commentRangeStart w:id="0"/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0"/>
          <w:r w:rsidR="00113086">
            <w:rPr>
              <w:rStyle w:val="CommentReference"/>
              <w:rFonts w:eastAsia="Times New Roman" w:cs="Times New Roman"/>
            </w:rPr>
            <w:commentReference w:id="0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516F22D" w:rsidR="00466905" w:rsidRPr="00D902A1" w:rsidRDefault="00B041E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4-1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AF585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14 April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516F22D" w:rsidR="00466905" w:rsidRPr="00D902A1" w:rsidRDefault="00B041E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4-1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AF585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14 April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978F678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0F2553">
        <w:rPr>
          <w:lang w:val="en-GB"/>
        </w:rPr>
        <w:t>Ind</w:t>
      </w:r>
      <w:r w:rsidR="00E05994" w:rsidRPr="000F2553">
        <w:rPr>
          <w:lang w:val="en-GB"/>
        </w:rPr>
        <w:t>ices</w:t>
      </w:r>
      <w:r w:rsidR="00E05994">
        <w:rPr>
          <w:lang w:val="en-US"/>
        </w:rPr>
        <w:t xml:space="preserve"> (the ‘</w:t>
      </w:r>
      <w:r w:rsidR="00A97E61" w:rsidRPr="000F2553">
        <w:rPr>
          <w:lang w:val="en-GB"/>
        </w:rPr>
        <w:t>Ind</w:t>
      </w:r>
      <w:r w:rsidR="00E05994" w:rsidRPr="000F2553">
        <w:rPr>
          <w:lang w:val="en-GB"/>
        </w:rPr>
        <w:t>ices</w:t>
      </w:r>
      <w:r w:rsidR="00E05994">
        <w:rPr>
          <w:lang w:val="en-US"/>
        </w:rPr>
        <w:t>’):</w:t>
      </w:r>
    </w:p>
    <w:tbl>
      <w:tblPr>
        <w:tblW w:w="9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1"/>
        <w:gridCol w:w="1347"/>
        <w:gridCol w:w="1842"/>
      </w:tblGrid>
      <w:tr w:rsidR="00E05994" w14:paraId="1B57FCB7" w14:textId="77777777" w:rsidTr="000F2553">
        <w:trPr>
          <w:trHeight w:val="317"/>
        </w:trPr>
        <w:tc>
          <w:tcPr>
            <w:tcW w:w="6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3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0F2553">
        <w:trPr>
          <w:trHeight w:val="317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1FC6D3B3" w:rsidR="008C091F" w:rsidRPr="000F2553" w:rsidRDefault="008C091F" w:rsidP="00466905">
            <w:pPr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Solactive Gold &amp; Silver Miners US Listing Carbon Tilted Index NTR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2FB13C22" w:rsidR="00E05994" w:rsidRDefault="008C091F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8C091F">
              <w:rPr>
                <w:rFonts w:eastAsia="Calibri"/>
                <w:color w:val="000000"/>
                <w:lang w:val="en-GB" w:eastAsia="en-US"/>
              </w:rPr>
              <w:t>.SOLGSMUN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0C3EC34B" w:rsidR="008C091F" w:rsidRDefault="008C091F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C091F">
              <w:rPr>
                <w:rFonts w:eastAsia="Calibri"/>
                <w:color w:val="000000"/>
                <w:lang w:val="en-GB" w:eastAsia="en-US"/>
              </w:rPr>
              <w:t>DE000SL0KD72</w:t>
            </w:r>
          </w:p>
        </w:tc>
      </w:tr>
      <w:tr w:rsidR="008C091F" w14:paraId="38B15AC1" w14:textId="77777777" w:rsidTr="008C091F">
        <w:trPr>
          <w:trHeight w:val="317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E2CB58" w14:textId="66E91029" w:rsidR="008C091F" w:rsidRPr="004404B0" w:rsidRDefault="008C091F" w:rsidP="004404B0">
            <w:pPr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Solactive Gold &amp; Silver Miners US Listing Carbon Tilted Index TR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9FB6C0" w14:textId="6363ED97" w:rsidR="008C091F" w:rsidRDefault="008C091F" w:rsidP="004404B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8C091F">
              <w:rPr>
                <w:rFonts w:eastAsia="Calibri"/>
                <w:color w:val="000000"/>
                <w:lang w:val="en-GB" w:eastAsia="en-US"/>
              </w:rPr>
              <w:t>.SOLGSMU</w:t>
            </w:r>
            <w:r>
              <w:rPr>
                <w:rFonts w:eastAsia="Calibri"/>
                <w:color w:val="000000"/>
                <w:lang w:val="en-GB" w:eastAsia="en-US"/>
              </w:rPr>
              <w:t>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F32BE09" w14:textId="1AF0FAC3" w:rsidR="008C091F" w:rsidRDefault="00B041EA" w:rsidP="004404B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041EA">
              <w:rPr>
                <w:rFonts w:eastAsia="Calibri"/>
                <w:color w:val="000000"/>
                <w:lang w:eastAsia="en-US"/>
              </w:rPr>
              <w:t>DE000SL0KD80</w:t>
            </w:r>
          </w:p>
        </w:tc>
      </w:tr>
      <w:tr w:rsidR="008C091F" w14:paraId="4B160096" w14:textId="77777777" w:rsidTr="008C091F">
        <w:trPr>
          <w:trHeight w:val="317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96AE32" w14:textId="6D063640" w:rsidR="008C091F" w:rsidRPr="004404B0" w:rsidRDefault="008C091F" w:rsidP="004404B0">
            <w:pPr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Solactive Gold &amp; Silver Miners US Listing Carbon Tilted Index PR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A57820" w14:textId="2312C508" w:rsidR="008C091F" w:rsidRDefault="008C091F" w:rsidP="004404B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8C091F">
              <w:rPr>
                <w:rFonts w:eastAsia="Calibri"/>
                <w:color w:val="000000"/>
                <w:lang w:val="en-GB" w:eastAsia="en-US"/>
              </w:rPr>
              <w:t>.SOLGSMU</w:t>
            </w:r>
            <w:r>
              <w:rPr>
                <w:rFonts w:eastAsia="Calibri"/>
                <w:color w:val="000000"/>
                <w:lang w:val="en-GB" w:eastAsia="en-US"/>
              </w:rPr>
              <w:t>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8FE33CC" w14:textId="5A3A33D4" w:rsidR="008C091F" w:rsidRDefault="00B041EA" w:rsidP="004404B0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C091F">
              <w:rPr>
                <w:rFonts w:eastAsia="Calibri"/>
                <w:color w:val="000000"/>
                <w:lang w:val="en-GB" w:eastAsia="en-US"/>
              </w:rPr>
              <w:t>DE000SL0KD64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35C34BA" w14:textId="64500259" w:rsidR="000F2553" w:rsidRDefault="00E05994" w:rsidP="00995D4A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6BC3D74A" w14:textId="77777777" w:rsidR="000F2553" w:rsidRPr="005A085F" w:rsidRDefault="000F2553" w:rsidP="000F2553">
      <w:pPr>
        <w:spacing w:before="0" w:after="160" w:line="259" w:lineRule="auto"/>
        <w:jc w:val="left"/>
        <w:rPr>
          <w:lang w:val="en-US" w:eastAsia="en-US"/>
        </w:rPr>
      </w:pPr>
      <w:r w:rsidRPr="005A085F">
        <w:rPr>
          <w:lang w:val="en-US" w:eastAsia="en-US"/>
        </w:rPr>
        <w:t>The index represents companies active in the Gold and Silver Mining industry that operate in accordance with established norms and good governance practices. As such, the Solactive Gold &amp; Silver Miners US Listings Index serves as the starting universe.</w:t>
      </w:r>
    </w:p>
    <w:p w14:paraId="1CBD012A" w14:textId="27DD0BFC" w:rsidR="000F2553" w:rsidRPr="005A085F" w:rsidRDefault="000F2553" w:rsidP="000F2553">
      <w:pPr>
        <w:spacing w:before="0" w:after="160" w:line="259" w:lineRule="auto"/>
        <w:jc w:val="left"/>
        <w:rPr>
          <w:lang w:val="en-US" w:eastAsia="en-US"/>
        </w:rPr>
      </w:pPr>
      <w:r w:rsidRPr="005A085F">
        <w:rPr>
          <w:lang w:val="en-US" w:eastAsia="en-US"/>
        </w:rPr>
        <w:t>Solactive proposes adjusting the Governance Rating threshold in Section 2.2. of the index methodology from "B- or lower" to "D+ or lower" to maintain sufficient diversification.</w:t>
      </w:r>
    </w:p>
    <w:p w14:paraId="2BF4DE5A" w14:textId="7257051F" w:rsidR="007E47D4" w:rsidRPr="005A085F" w:rsidRDefault="000F2553" w:rsidP="00F568D6">
      <w:pPr>
        <w:spacing w:before="0" w:after="160" w:line="259" w:lineRule="auto"/>
        <w:jc w:val="left"/>
        <w:rPr>
          <w:lang w:val="en-US" w:eastAsia="en-US"/>
        </w:rPr>
      </w:pPr>
      <w:r w:rsidRPr="005A085F">
        <w:rPr>
          <w:lang w:val="en-US" w:eastAsia="en-US"/>
        </w:rPr>
        <w:t>Additionally, to better reflect market dynamics, Solactive recommends aligning the rebalancing schedule with that of the underlying index universe—changing from an annual rebalancing in February to a quarterly schedule based on GBS logic.</w:t>
      </w:r>
    </w:p>
    <w:p w14:paraId="2A079CAD" w14:textId="37D42930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0F2553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37708A62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A64163" w:rsidRPr="000F2553">
        <w:rPr>
          <w:lang w:val="en-GB"/>
        </w:rPr>
        <w:t>s</w:t>
      </w:r>
      <w:r>
        <w:rPr>
          <w:lang w:val="en-GB"/>
        </w:rPr>
        <w:t xml:space="preserve"> </w:t>
      </w:r>
      <w:r w:rsidRPr="000F2553">
        <w:rPr>
          <w:lang w:val="en-GB"/>
        </w:rPr>
        <w:t>are</w:t>
      </w:r>
      <w:r>
        <w:rPr>
          <w:lang w:val="en-GB"/>
        </w:rPr>
        <w:t xml:space="preserve"> proposed in the following point</w:t>
      </w:r>
      <w:r w:rsidR="00A64163" w:rsidRPr="000F2553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>:</w:t>
      </w:r>
    </w:p>
    <w:p w14:paraId="2E3D89BA" w14:textId="0BF582D7" w:rsidR="000C1C34" w:rsidRDefault="000C1C3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Section 2.2: </w:t>
      </w:r>
      <w:r w:rsidRPr="000C1C34">
        <w:rPr>
          <w:lang w:val="en-GB"/>
        </w:rPr>
        <w:t>SELECTION OF THE INDEX COMPONENTS</w:t>
      </w:r>
    </w:p>
    <w:p w14:paraId="3AEB42F1" w14:textId="48A1BC16" w:rsidR="000C1C34" w:rsidRDefault="000C1C3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Old: </w:t>
      </w:r>
    </w:p>
    <w:p w14:paraId="179618DE" w14:textId="127BD391" w:rsidR="000C1C34" w:rsidRDefault="000C1C3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“</w:t>
      </w:r>
      <w:r w:rsidRPr="000C1C34">
        <w:rPr>
          <w:lang w:val="en-GB"/>
        </w:rPr>
        <w:t>[…]</w:t>
      </w:r>
    </w:p>
    <w:p w14:paraId="0F3CEA43" w14:textId="77777777" w:rsidR="000C1C34" w:rsidRDefault="000C1C34" w:rsidP="000C1C34">
      <w:pPr>
        <w:rPr>
          <w:lang w:val="en-US" w:eastAsia="en-US"/>
        </w:rPr>
      </w:pPr>
      <w:r w:rsidRPr="000C1C34">
        <w:rPr>
          <w:lang w:val="en-GB"/>
        </w:rPr>
        <w:t xml:space="preserve">3) </w:t>
      </w:r>
      <w:r w:rsidRPr="000C1C34">
        <w:rPr>
          <w:lang w:val="en-US" w:eastAsia="en-US"/>
        </w:rPr>
        <w:t xml:space="preserve">Solactive evaluates remaining companies from step 2 based on the criteria outlined in the table below. The evaluation is based on data provided by the </w:t>
      </w:r>
      <w:r w:rsidRPr="000C1C34">
        <w:rPr>
          <w:smallCaps/>
          <w:lang w:val="en-US" w:eastAsia="en-US"/>
        </w:rPr>
        <w:t>Data Provider</w:t>
      </w:r>
      <w:r w:rsidRPr="000C1C34">
        <w:rPr>
          <w:lang w:val="en-US" w:eastAsia="en-US"/>
        </w:rPr>
        <w:t>. All companies violating any of the exclusion criteria above are excluded. All companies for which an evaluation of these exclusion criteria is not possible due to insufficient and/or missing information or data are also excluded.</w:t>
      </w:r>
    </w:p>
    <w:tbl>
      <w:tblPr>
        <w:tblStyle w:val="TableGrid"/>
        <w:tblW w:w="4853" w:type="pct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8"/>
        <w:gridCol w:w="3411"/>
        <w:gridCol w:w="3706"/>
      </w:tblGrid>
      <w:tr w:rsidR="000C1C34" w:rsidRPr="008B05E3" w14:paraId="5ACF1601" w14:textId="77777777" w:rsidTr="004404B0">
        <w:trPr>
          <w:jc w:val="center"/>
        </w:trPr>
        <w:tc>
          <w:tcPr>
            <w:tcW w:w="3019" w:type="pct"/>
            <w:gridSpan w:val="2"/>
          </w:tcPr>
          <w:p w14:paraId="261151AE" w14:textId="77777777" w:rsidR="000C1C34" w:rsidRPr="008B05E3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 w:rsidRPr="008B05E3">
              <w:rPr>
                <w:rFonts w:ascii="Flama Semicondensed Medium" w:hAnsi="Flama Semicondensed Medium"/>
                <w:lang w:val="en-US" w:eastAsia="en-US"/>
              </w:rPr>
              <w:t>Theme</w:t>
            </w:r>
          </w:p>
        </w:tc>
        <w:tc>
          <w:tcPr>
            <w:tcW w:w="1981" w:type="pct"/>
          </w:tcPr>
          <w:p w14:paraId="01775A47" w14:textId="77777777" w:rsidR="000C1C34" w:rsidRPr="008B05E3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 w:rsidRPr="008B05E3">
              <w:rPr>
                <w:rFonts w:ascii="Flama Semicondensed Medium" w:hAnsi="Flama Semicondensed Medium"/>
                <w:lang w:val="en-US" w:eastAsia="en-US"/>
              </w:rPr>
              <w:t>Exclusion</w:t>
            </w:r>
            <w:r>
              <w:rPr>
                <w:rFonts w:ascii="Flama Semicondensed Medium" w:hAnsi="Flama Semicondensed Medium"/>
                <w:lang w:val="en-US" w:eastAsia="en-US"/>
              </w:rPr>
              <w:t xml:space="preserve"> criterion</w:t>
            </w:r>
          </w:p>
        </w:tc>
      </w:tr>
      <w:tr w:rsidR="000C1C34" w:rsidRPr="008B05E3" w14:paraId="6DBA60A1" w14:textId="77777777" w:rsidTr="004404B0">
        <w:trPr>
          <w:jc w:val="center"/>
        </w:trPr>
        <w:tc>
          <w:tcPr>
            <w:tcW w:w="3019" w:type="pct"/>
            <w:gridSpan w:val="2"/>
          </w:tcPr>
          <w:p w14:paraId="558C17C1" w14:textId="77777777" w:rsidR="000C1C34" w:rsidRPr="005D4EC8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 w:rsidRPr="005D4EC8">
              <w:rPr>
                <w:lang w:val="en-US" w:eastAsia="en-US"/>
              </w:rPr>
              <w:t>Governance Rating</w:t>
            </w:r>
          </w:p>
        </w:tc>
        <w:tc>
          <w:tcPr>
            <w:tcW w:w="1981" w:type="pct"/>
          </w:tcPr>
          <w:p w14:paraId="7A7821EC" w14:textId="5CA7A26B" w:rsidR="000C1C34" w:rsidRPr="008B05E3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>
              <w:rPr>
                <w:lang w:val="en-US" w:eastAsia="en-US"/>
              </w:rPr>
              <w:t>B-</w:t>
            </w:r>
            <w:r w:rsidRPr="005D4EC8">
              <w:rPr>
                <w:lang w:val="en-US" w:eastAsia="en-US"/>
              </w:rPr>
              <w:t xml:space="preserve"> or lower</w:t>
            </w:r>
            <w:r>
              <w:rPr>
                <w:rFonts w:ascii="Flama Semicondensed Medium" w:hAnsi="Flama Semicondensed Medium"/>
                <w:lang w:val="en-US" w:eastAsia="en-US"/>
              </w:rPr>
              <w:t xml:space="preserve"> </w:t>
            </w:r>
          </w:p>
        </w:tc>
      </w:tr>
      <w:tr w:rsidR="000C1C34" w:rsidRPr="000F2553" w14:paraId="6F61C6C5" w14:textId="77777777" w:rsidTr="004404B0">
        <w:trPr>
          <w:jc w:val="center"/>
        </w:trPr>
        <w:tc>
          <w:tcPr>
            <w:tcW w:w="1196" w:type="pct"/>
            <w:vMerge w:val="restart"/>
            <w:vAlign w:val="center"/>
          </w:tcPr>
          <w:p w14:paraId="2219F11C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Norm-Based Research</w:t>
            </w:r>
          </w:p>
        </w:tc>
        <w:tc>
          <w:tcPr>
            <w:tcW w:w="1823" w:type="pct"/>
            <w:vAlign w:val="center"/>
          </w:tcPr>
          <w:p w14:paraId="584372F2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Environment</w:t>
            </w:r>
          </w:p>
        </w:tc>
        <w:tc>
          <w:tcPr>
            <w:tcW w:w="1981" w:type="pct"/>
            <w:vMerge w:val="restart"/>
            <w:vAlign w:val="center"/>
          </w:tcPr>
          <w:p w14:paraId="2E9D9B76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 w:rsidRPr="006D7D12">
              <w:rPr>
                <w:lang w:val="en-US" w:eastAsia="en-US"/>
              </w:rPr>
              <w:t>Verified</w:t>
            </w:r>
            <w:r>
              <w:rPr>
                <w:lang w:val="en-US" w:eastAsia="en-US"/>
              </w:rPr>
              <w:t xml:space="preserve"> ongoing</w:t>
            </w:r>
            <w:r w:rsidRPr="006D7D12">
              <w:rPr>
                <w:lang w:val="en-US" w:eastAsia="en-US"/>
              </w:rPr>
              <w:t xml:space="preserve"> failure to respect established norms</w:t>
            </w:r>
            <w:r>
              <w:rPr>
                <w:lang w:val="en-US" w:eastAsia="en-US"/>
              </w:rPr>
              <w:t xml:space="preserve"> </w:t>
            </w:r>
          </w:p>
        </w:tc>
      </w:tr>
      <w:tr w:rsidR="000C1C34" w14:paraId="5C211B13" w14:textId="77777777" w:rsidTr="004404B0">
        <w:trPr>
          <w:jc w:val="center"/>
        </w:trPr>
        <w:tc>
          <w:tcPr>
            <w:tcW w:w="1196" w:type="pct"/>
            <w:vMerge/>
          </w:tcPr>
          <w:p w14:paraId="151369A8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  <w:tc>
          <w:tcPr>
            <w:tcW w:w="1823" w:type="pct"/>
            <w:vAlign w:val="center"/>
          </w:tcPr>
          <w:p w14:paraId="24C90FB3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Human Rights</w:t>
            </w:r>
          </w:p>
        </w:tc>
        <w:tc>
          <w:tcPr>
            <w:tcW w:w="1981" w:type="pct"/>
            <w:vMerge/>
            <w:vAlign w:val="center"/>
          </w:tcPr>
          <w:p w14:paraId="506C0C4F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</w:tr>
      <w:tr w:rsidR="000C1C34" w14:paraId="6F8126D1" w14:textId="77777777" w:rsidTr="004404B0">
        <w:trPr>
          <w:jc w:val="center"/>
        </w:trPr>
        <w:tc>
          <w:tcPr>
            <w:tcW w:w="1196" w:type="pct"/>
            <w:vMerge/>
          </w:tcPr>
          <w:p w14:paraId="7D1882B6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  <w:tc>
          <w:tcPr>
            <w:tcW w:w="1823" w:type="pct"/>
            <w:vAlign w:val="center"/>
          </w:tcPr>
          <w:p w14:paraId="305B8604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Corruption</w:t>
            </w:r>
          </w:p>
        </w:tc>
        <w:tc>
          <w:tcPr>
            <w:tcW w:w="1981" w:type="pct"/>
            <w:vMerge/>
            <w:vAlign w:val="center"/>
          </w:tcPr>
          <w:p w14:paraId="423111B5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</w:tr>
      <w:tr w:rsidR="000C1C34" w14:paraId="0074E8CB" w14:textId="77777777" w:rsidTr="004404B0">
        <w:trPr>
          <w:jc w:val="center"/>
        </w:trPr>
        <w:tc>
          <w:tcPr>
            <w:tcW w:w="1196" w:type="pct"/>
            <w:vMerge/>
          </w:tcPr>
          <w:p w14:paraId="48BB0681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  <w:tc>
          <w:tcPr>
            <w:tcW w:w="1823" w:type="pct"/>
            <w:vAlign w:val="center"/>
          </w:tcPr>
          <w:p w14:paraId="49F54FF7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Labour</w:t>
            </w:r>
            <w:proofErr w:type="spellEnd"/>
            <w:r>
              <w:rPr>
                <w:lang w:val="en-US" w:eastAsia="en-US"/>
              </w:rPr>
              <w:t xml:space="preserve"> Rights</w:t>
            </w:r>
          </w:p>
        </w:tc>
        <w:tc>
          <w:tcPr>
            <w:tcW w:w="1981" w:type="pct"/>
            <w:vMerge/>
            <w:vAlign w:val="center"/>
          </w:tcPr>
          <w:p w14:paraId="63098D0C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</w:tr>
      <w:tr w:rsidR="000C1C34" w14:paraId="1F90F7B7" w14:textId="77777777" w:rsidTr="004404B0">
        <w:trPr>
          <w:jc w:val="center"/>
        </w:trPr>
        <w:tc>
          <w:tcPr>
            <w:tcW w:w="1196" w:type="pct"/>
            <w:vAlign w:val="center"/>
          </w:tcPr>
          <w:p w14:paraId="201368A6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 w:rsidRPr="00355C5E">
              <w:rPr>
                <w:lang w:val="en-US" w:eastAsia="en-US"/>
              </w:rPr>
              <w:lastRenderedPageBreak/>
              <w:t>Controversial Weapons Research</w:t>
            </w:r>
          </w:p>
        </w:tc>
        <w:tc>
          <w:tcPr>
            <w:tcW w:w="1823" w:type="pct"/>
            <w:vAlign w:val="center"/>
          </w:tcPr>
          <w:p w14:paraId="23A264ED" w14:textId="77777777" w:rsidR="000C1C34" w:rsidRPr="00355C5E" w:rsidRDefault="000C1C34" w:rsidP="004404B0">
            <w:pPr>
              <w:pStyle w:val="NoSpacing"/>
              <w:rPr>
                <w:lang w:val="en-US" w:eastAsia="en-US"/>
              </w:rPr>
            </w:pPr>
            <w:r w:rsidRPr="00355C5E">
              <w:t>Chemical weapons</w:t>
            </w:r>
          </w:p>
        </w:tc>
        <w:tc>
          <w:tcPr>
            <w:tcW w:w="1981" w:type="pct"/>
            <w:vAlign w:val="center"/>
          </w:tcPr>
          <w:p w14:paraId="2806950E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 w:rsidRPr="00355C5E">
              <w:rPr>
                <w:lang w:val="en-US" w:eastAsia="en-US"/>
              </w:rPr>
              <w:t>Verified ongoing involvement</w:t>
            </w:r>
          </w:p>
        </w:tc>
      </w:tr>
    </w:tbl>
    <w:p w14:paraId="494BF1BA" w14:textId="40C034DA" w:rsidR="000C1C34" w:rsidRDefault="000C1C34" w:rsidP="0026131F">
      <w:pPr>
        <w:spacing w:before="0" w:after="160" w:line="259" w:lineRule="auto"/>
        <w:rPr>
          <w:lang w:val="en-GB"/>
        </w:rPr>
      </w:pPr>
    </w:p>
    <w:p w14:paraId="172E0E0B" w14:textId="622B4421" w:rsidR="000C1C34" w:rsidRDefault="000C1C34" w:rsidP="000C1C34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 </w:t>
      </w:r>
      <w:r w:rsidRPr="000C1C34">
        <w:rPr>
          <w:lang w:val="en-GB"/>
        </w:rPr>
        <w:t>[…]</w:t>
      </w:r>
      <w:r>
        <w:rPr>
          <w:lang w:val="en-GB"/>
        </w:rPr>
        <w:t>”</w:t>
      </w:r>
    </w:p>
    <w:p w14:paraId="5E68D67F" w14:textId="0CFF072D" w:rsidR="000C1C34" w:rsidRDefault="000C1C34" w:rsidP="000C1C34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New: </w:t>
      </w:r>
    </w:p>
    <w:p w14:paraId="5477CD54" w14:textId="77777777" w:rsidR="000C1C34" w:rsidRDefault="000C1C34" w:rsidP="000C1C34">
      <w:pPr>
        <w:spacing w:before="0" w:after="160" w:line="259" w:lineRule="auto"/>
        <w:rPr>
          <w:lang w:val="en-GB"/>
        </w:rPr>
      </w:pPr>
      <w:r>
        <w:rPr>
          <w:lang w:val="en-GB"/>
        </w:rPr>
        <w:t>“</w:t>
      </w:r>
      <w:r w:rsidRPr="000C1C34">
        <w:rPr>
          <w:lang w:val="en-GB"/>
        </w:rPr>
        <w:t>[…]</w:t>
      </w:r>
    </w:p>
    <w:p w14:paraId="130D04EE" w14:textId="77777777" w:rsidR="000C1C34" w:rsidRDefault="000C1C34" w:rsidP="000C1C34">
      <w:pPr>
        <w:rPr>
          <w:lang w:val="en-US" w:eastAsia="en-US"/>
        </w:rPr>
      </w:pPr>
      <w:r w:rsidRPr="000C1C34">
        <w:rPr>
          <w:lang w:val="en-GB"/>
        </w:rPr>
        <w:t xml:space="preserve">3) </w:t>
      </w:r>
      <w:r w:rsidRPr="000C1C34">
        <w:rPr>
          <w:lang w:val="en-US" w:eastAsia="en-US"/>
        </w:rPr>
        <w:t xml:space="preserve">Solactive evaluates remaining companies from step 2 based on the criteria outlined in the table below. The evaluation is based on data provided by the </w:t>
      </w:r>
      <w:r w:rsidRPr="000C1C34">
        <w:rPr>
          <w:smallCaps/>
          <w:lang w:val="en-US" w:eastAsia="en-US"/>
        </w:rPr>
        <w:t>Data Provider</w:t>
      </w:r>
      <w:r w:rsidRPr="000C1C34">
        <w:rPr>
          <w:lang w:val="en-US" w:eastAsia="en-US"/>
        </w:rPr>
        <w:t>. All companies violating any of the exclusion criteria above are excluded. All companies for which an evaluation of these exclusion criteria is not possible due to insufficient and/or missing information or data are also excluded.</w:t>
      </w:r>
    </w:p>
    <w:tbl>
      <w:tblPr>
        <w:tblStyle w:val="TableGrid"/>
        <w:tblW w:w="4853" w:type="pct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8"/>
        <w:gridCol w:w="3411"/>
        <w:gridCol w:w="3706"/>
      </w:tblGrid>
      <w:tr w:rsidR="000C1C34" w:rsidRPr="008B05E3" w14:paraId="23712D13" w14:textId="77777777" w:rsidTr="004404B0">
        <w:trPr>
          <w:jc w:val="center"/>
        </w:trPr>
        <w:tc>
          <w:tcPr>
            <w:tcW w:w="3019" w:type="pct"/>
            <w:gridSpan w:val="2"/>
          </w:tcPr>
          <w:p w14:paraId="7582EA23" w14:textId="77777777" w:rsidR="000C1C34" w:rsidRPr="008B05E3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 w:rsidRPr="008B05E3">
              <w:rPr>
                <w:rFonts w:ascii="Flama Semicondensed Medium" w:hAnsi="Flama Semicondensed Medium"/>
                <w:lang w:val="en-US" w:eastAsia="en-US"/>
              </w:rPr>
              <w:t>Theme</w:t>
            </w:r>
          </w:p>
        </w:tc>
        <w:tc>
          <w:tcPr>
            <w:tcW w:w="1981" w:type="pct"/>
          </w:tcPr>
          <w:p w14:paraId="3A5D2C16" w14:textId="77777777" w:rsidR="000C1C34" w:rsidRPr="008B05E3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 w:rsidRPr="008B05E3">
              <w:rPr>
                <w:rFonts w:ascii="Flama Semicondensed Medium" w:hAnsi="Flama Semicondensed Medium"/>
                <w:lang w:val="en-US" w:eastAsia="en-US"/>
              </w:rPr>
              <w:t>Exclusion</w:t>
            </w:r>
            <w:r>
              <w:rPr>
                <w:rFonts w:ascii="Flama Semicondensed Medium" w:hAnsi="Flama Semicondensed Medium"/>
                <w:lang w:val="en-US" w:eastAsia="en-US"/>
              </w:rPr>
              <w:t xml:space="preserve"> criterion</w:t>
            </w:r>
          </w:p>
        </w:tc>
      </w:tr>
      <w:tr w:rsidR="000C1C34" w:rsidRPr="008B05E3" w14:paraId="37174B2D" w14:textId="77777777" w:rsidTr="004404B0">
        <w:trPr>
          <w:jc w:val="center"/>
        </w:trPr>
        <w:tc>
          <w:tcPr>
            <w:tcW w:w="3019" w:type="pct"/>
            <w:gridSpan w:val="2"/>
          </w:tcPr>
          <w:p w14:paraId="47DAE6A7" w14:textId="77777777" w:rsidR="000C1C34" w:rsidRPr="005D4EC8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 w:rsidRPr="005D4EC8">
              <w:rPr>
                <w:lang w:val="en-US" w:eastAsia="en-US"/>
              </w:rPr>
              <w:t>Governance Rating</w:t>
            </w:r>
          </w:p>
        </w:tc>
        <w:tc>
          <w:tcPr>
            <w:tcW w:w="1981" w:type="pct"/>
          </w:tcPr>
          <w:p w14:paraId="33CF69B6" w14:textId="69E8FD2A" w:rsidR="000C1C34" w:rsidRPr="008B05E3" w:rsidRDefault="000C1C34" w:rsidP="004404B0">
            <w:pPr>
              <w:pStyle w:val="NoSpacing"/>
              <w:rPr>
                <w:rFonts w:ascii="Flama Semicondensed Medium" w:hAnsi="Flama Semicondensed Medium"/>
                <w:lang w:val="en-US" w:eastAsia="en-US"/>
              </w:rPr>
            </w:pPr>
            <w:r>
              <w:rPr>
                <w:lang w:val="en-US" w:eastAsia="en-US"/>
              </w:rPr>
              <w:t>D+</w:t>
            </w:r>
            <w:r w:rsidRPr="005D4EC8">
              <w:rPr>
                <w:lang w:val="en-US" w:eastAsia="en-US"/>
              </w:rPr>
              <w:t xml:space="preserve"> or lower</w:t>
            </w:r>
            <w:r>
              <w:rPr>
                <w:rFonts w:ascii="Flama Semicondensed Medium" w:hAnsi="Flama Semicondensed Medium"/>
                <w:lang w:val="en-US" w:eastAsia="en-US"/>
              </w:rPr>
              <w:t xml:space="preserve"> </w:t>
            </w:r>
          </w:p>
        </w:tc>
      </w:tr>
      <w:tr w:rsidR="000C1C34" w:rsidRPr="000F2553" w14:paraId="2E580158" w14:textId="77777777" w:rsidTr="004404B0">
        <w:trPr>
          <w:jc w:val="center"/>
        </w:trPr>
        <w:tc>
          <w:tcPr>
            <w:tcW w:w="1196" w:type="pct"/>
            <w:vMerge w:val="restart"/>
            <w:vAlign w:val="center"/>
          </w:tcPr>
          <w:p w14:paraId="13ABD1F2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Norm-Based Research</w:t>
            </w:r>
          </w:p>
        </w:tc>
        <w:tc>
          <w:tcPr>
            <w:tcW w:w="1823" w:type="pct"/>
            <w:vAlign w:val="center"/>
          </w:tcPr>
          <w:p w14:paraId="41A1E72A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Environment</w:t>
            </w:r>
          </w:p>
        </w:tc>
        <w:tc>
          <w:tcPr>
            <w:tcW w:w="1981" w:type="pct"/>
            <w:vMerge w:val="restart"/>
            <w:vAlign w:val="center"/>
          </w:tcPr>
          <w:p w14:paraId="7B2DFD36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 w:rsidRPr="006D7D12">
              <w:rPr>
                <w:lang w:val="en-US" w:eastAsia="en-US"/>
              </w:rPr>
              <w:t>Verified</w:t>
            </w:r>
            <w:r>
              <w:rPr>
                <w:lang w:val="en-US" w:eastAsia="en-US"/>
              </w:rPr>
              <w:t xml:space="preserve"> ongoing</w:t>
            </w:r>
            <w:r w:rsidRPr="006D7D12">
              <w:rPr>
                <w:lang w:val="en-US" w:eastAsia="en-US"/>
              </w:rPr>
              <w:t xml:space="preserve"> failure to respect established norms</w:t>
            </w:r>
            <w:r>
              <w:rPr>
                <w:lang w:val="en-US" w:eastAsia="en-US"/>
              </w:rPr>
              <w:t xml:space="preserve"> </w:t>
            </w:r>
          </w:p>
        </w:tc>
      </w:tr>
      <w:tr w:rsidR="000C1C34" w14:paraId="46C007BF" w14:textId="77777777" w:rsidTr="004404B0">
        <w:trPr>
          <w:jc w:val="center"/>
        </w:trPr>
        <w:tc>
          <w:tcPr>
            <w:tcW w:w="1196" w:type="pct"/>
            <w:vMerge/>
          </w:tcPr>
          <w:p w14:paraId="01386936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  <w:tc>
          <w:tcPr>
            <w:tcW w:w="1823" w:type="pct"/>
            <w:vAlign w:val="center"/>
          </w:tcPr>
          <w:p w14:paraId="6C28E0BB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Human Rights</w:t>
            </w:r>
          </w:p>
        </w:tc>
        <w:tc>
          <w:tcPr>
            <w:tcW w:w="1981" w:type="pct"/>
            <w:vMerge/>
            <w:vAlign w:val="center"/>
          </w:tcPr>
          <w:p w14:paraId="774254E7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</w:tr>
      <w:tr w:rsidR="000C1C34" w14:paraId="526ED152" w14:textId="77777777" w:rsidTr="004404B0">
        <w:trPr>
          <w:jc w:val="center"/>
        </w:trPr>
        <w:tc>
          <w:tcPr>
            <w:tcW w:w="1196" w:type="pct"/>
            <w:vMerge/>
          </w:tcPr>
          <w:p w14:paraId="4FF5FE88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  <w:tc>
          <w:tcPr>
            <w:tcW w:w="1823" w:type="pct"/>
            <w:vAlign w:val="center"/>
          </w:tcPr>
          <w:p w14:paraId="2B328093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>
              <w:rPr>
                <w:lang w:val="en-US" w:eastAsia="en-US"/>
              </w:rPr>
              <w:t>Corruption</w:t>
            </w:r>
          </w:p>
        </w:tc>
        <w:tc>
          <w:tcPr>
            <w:tcW w:w="1981" w:type="pct"/>
            <w:vMerge/>
            <w:vAlign w:val="center"/>
          </w:tcPr>
          <w:p w14:paraId="4B7B40B9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</w:tr>
      <w:tr w:rsidR="000C1C34" w14:paraId="72C52464" w14:textId="77777777" w:rsidTr="004404B0">
        <w:trPr>
          <w:jc w:val="center"/>
        </w:trPr>
        <w:tc>
          <w:tcPr>
            <w:tcW w:w="1196" w:type="pct"/>
            <w:vMerge/>
          </w:tcPr>
          <w:p w14:paraId="00612803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  <w:tc>
          <w:tcPr>
            <w:tcW w:w="1823" w:type="pct"/>
            <w:vAlign w:val="center"/>
          </w:tcPr>
          <w:p w14:paraId="2A4899D0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Labour</w:t>
            </w:r>
            <w:proofErr w:type="spellEnd"/>
            <w:r>
              <w:rPr>
                <w:lang w:val="en-US" w:eastAsia="en-US"/>
              </w:rPr>
              <w:t xml:space="preserve"> Rights</w:t>
            </w:r>
          </w:p>
        </w:tc>
        <w:tc>
          <w:tcPr>
            <w:tcW w:w="1981" w:type="pct"/>
            <w:vMerge/>
            <w:vAlign w:val="center"/>
          </w:tcPr>
          <w:p w14:paraId="3E41862C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</w:p>
        </w:tc>
      </w:tr>
      <w:tr w:rsidR="000C1C34" w14:paraId="518AEA5C" w14:textId="77777777" w:rsidTr="004404B0">
        <w:trPr>
          <w:jc w:val="center"/>
        </w:trPr>
        <w:tc>
          <w:tcPr>
            <w:tcW w:w="1196" w:type="pct"/>
            <w:vAlign w:val="center"/>
          </w:tcPr>
          <w:p w14:paraId="10120B70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 w:rsidRPr="00355C5E">
              <w:rPr>
                <w:lang w:val="en-US" w:eastAsia="en-US"/>
              </w:rPr>
              <w:t>Controversial Weapons Research</w:t>
            </w:r>
          </w:p>
        </w:tc>
        <w:tc>
          <w:tcPr>
            <w:tcW w:w="1823" w:type="pct"/>
            <w:vAlign w:val="center"/>
          </w:tcPr>
          <w:p w14:paraId="1F4D8BF3" w14:textId="77777777" w:rsidR="000C1C34" w:rsidRPr="00355C5E" w:rsidRDefault="000C1C34" w:rsidP="004404B0">
            <w:pPr>
              <w:pStyle w:val="NoSpacing"/>
              <w:rPr>
                <w:lang w:val="en-US" w:eastAsia="en-US"/>
              </w:rPr>
            </w:pPr>
            <w:r w:rsidRPr="00355C5E">
              <w:t>Chemical weapons</w:t>
            </w:r>
          </w:p>
        </w:tc>
        <w:tc>
          <w:tcPr>
            <w:tcW w:w="1981" w:type="pct"/>
            <w:vAlign w:val="center"/>
          </w:tcPr>
          <w:p w14:paraId="7CFEAEF5" w14:textId="77777777" w:rsidR="000C1C34" w:rsidRDefault="000C1C34" w:rsidP="004404B0">
            <w:pPr>
              <w:pStyle w:val="NoSpacing"/>
              <w:rPr>
                <w:lang w:val="en-US" w:eastAsia="en-US"/>
              </w:rPr>
            </w:pPr>
            <w:r w:rsidRPr="00355C5E">
              <w:rPr>
                <w:lang w:val="en-US" w:eastAsia="en-US"/>
              </w:rPr>
              <w:t>Verified ongoing involvement</w:t>
            </w:r>
          </w:p>
        </w:tc>
      </w:tr>
    </w:tbl>
    <w:p w14:paraId="594DA0EA" w14:textId="77777777" w:rsidR="000C1C34" w:rsidRDefault="000C1C34" w:rsidP="000C1C34">
      <w:pPr>
        <w:spacing w:before="0" w:after="160" w:line="259" w:lineRule="auto"/>
        <w:rPr>
          <w:lang w:val="en-GB"/>
        </w:rPr>
      </w:pPr>
    </w:p>
    <w:p w14:paraId="12231484" w14:textId="77777777" w:rsidR="000C1C34" w:rsidRDefault="000C1C34" w:rsidP="000C1C34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 </w:t>
      </w:r>
      <w:r w:rsidRPr="000C1C34">
        <w:rPr>
          <w:lang w:val="en-GB"/>
        </w:rPr>
        <w:t>[…]</w:t>
      </w:r>
      <w:r>
        <w:rPr>
          <w:lang w:val="en-GB"/>
        </w:rPr>
        <w:t>”</w:t>
      </w:r>
    </w:p>
    <w:p w14:paraId="3DDE2075" w14:textId="7379915D" w:rsidR="004B1C63" w:rsidRDefault="000C1C3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Section 6: DEFINITION</w:t>
      </w:r>
    </w:p>
    <w:p w14:paraId="63269158" w14:textId="5AA3180A" w:rsidR="000C1C34" w:rsidRDefault="000C1C3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Old:</w:t>
      </w:r>
    </w:p>
    <w:p w14:paraId="448971D1" w14:textId="77777777" w:rsidR="000C1C34" w:rsidRDefault="000C1C34" w:rsidP="000C1C34">
      <w:pPr>
        <w:spacing w:before="0" w:after="160" w:line="259" w:lineRule="auto"/>
        <w:rPr>
          <w:lang w:val="en-GB"/>
        </w:rPr>
      </w:pPr>
      <w:r>
        <w:rPr>
          <w:lang w:val="en-GB"/>
        </w:rPr>
        <w:t>“</w:t>
      </w:r>
      <w:r w:rsidRPr="000C1C34">
        <w:rPr>
          <w:lang w:val="en-GB"/>
        </w:rPr>
        <w:t>[…]</w:t>
      </w:r>
    </w:p>
    <w:p w14:paraId="654011D8" w14:textId="5FAD90B8" w:rsidR="000C1C34" w:rsidRPr="006E6BED" w:rsidRDefault="000C1C34" w:rsidP="000C1C34">
      <w:pPr>
        <w:rPr>
          <w:rFonts w:ascii="Flama Semicondensed Medium" w:hAnsi="Flama Semicondensed Medium"/>
          <w:lang w:val="en-US"/>
        </w:rPr>
      </w:pPr>
      <w:r w:rsidRPr="00E87C7D"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Rebalance Day</w:t>
      </w:r>
      <w:r w:rsidRPr="00E87C7D">
        <w:rPr>
          <w:lang w:val="en-US"/>
        </w:rPr>
        <w:t>” is</w:t>
      </w:r>
      <w:r>
        <w:rPr>
          <w:lang w:val="en-US"/>
        </w:rPr>
        <w:t xml:space="preserve"> </w:t>
      </w:r>
      <w:r w:rsidRPr="00023BD4">
        <w:rPr>
          <w:lang w:val="en-US"/>
        </w:rPr>
        <w:t xml:space="preserve">the </w:t>
      </w:r>
      <w:r>
        <w:rPr>
          <w:lang w:val="en-US"/>
        </w:rPr>
        <w:t xml:space="preserve">last </w:t>
      </w:r>
      <w:r w:rsidRPr="00A327AE">
        <w:rPr>
          <w:rFonts w:ascii="Flama Semicondensed Medium" w:hAnsi="Flama Semicondensed Medium"/>
          <w:smallCaps/>
          <w:lang w:val="en-US"/>
        </w:rPr>
        <w:t>Business Day</w:t>
      </w:r>
      <w:r>
        <w:rPr>
          <w:rFonts w:ascii="Flama Semicondensed Medium" w:hAnsi="Flama Semicondensed Medium"/>
          <w:smallCaps/>
          <w:lang w:val="en-US"/>
        </w:rPr>
        <w:t xml:space="preserve"> </w:t>
      </w:r>
      <w:r w:rsidRPr="00023BD4">
        <w:rPr>
          <w:lang w:val="en-US"/>
        </w:rPr>
        <w:t>in February.</w:t>
      </w:r>
      <w:r>
        <w:rPr>
          <w:lang w:val="en-US"/>
        </w:rPr>
        <w:t xml:space="preserve"> </w:t>
      </w:r>
      <w:r w:rsidRPr="00DD76C9">
        <w:rPr>
          <w:lang w:val="en-US"/>
        </w:rPr>
        <w:t xml:space="preserve">If that day is not an Eligible Rebalance Day, the </w:t>
      </w:r>
      <w:r>
        <w:rPr>
          <w:lang w:val="en-US"/>
        </w:rPr>
        <w:t>Rebalance Day</w:t>
      </w:r>
      <w:r w:rsidRPr="00DD76C9">
        <w:rPr>
          <w:lang w:val="en-US"/>
        </w:rPr>
        <w:t xml:space="preserve"> will be </w:t>
      </w:r>
      <w:proofErr w:type="gramStart"/>
      <w:r w:rsidRPr="00DD76C9">
        <w:rPr>
          <w:lang w:val="en-US"/>
        </w:rPr>
        <w:t>the immediately</w:t>
      </w:r>
      <w:proofErr w:type="gramEnd"/>
      <w:r w:rsidRPr="00DD76C9">
        <w:rPr>
          <w:lang w:val="en-US"/>
        </w:rPr>
        <w:t xml:space="preserve"> following Eligible Rebalance Day</w:t>
      </w:r>
      <w:r>
        <w:rPr>
          <w:lang w:val="en-US"/>
        </w:rPr>
        <w:t>.</w:t>
      </w:r>
    </w:p>
    <w:p w14:paraId="5E5BA33B" w14:textId="5AA4623F" w:rsidR="000C1C34" w:rsidRDefault="000C1C34" w:rsidP="0026131F">
      <w:pPr>
        <w:spacing w:before="0" w:after="160" w:line="259" w:lineRule="auto"/>
        <w:rPr>
          <w:lang w:val="en-GB"/>
        </w:rPr>
      </w:pPr>
      <w:r w:rsidRPr="000C1C34">
        <w:rPr>
          <w:lang w:val="en-GB"/>
        </w:rPr>
        <w:t>[…]</w:t>
      </w:r>
    </w:p>
    <w:p w14:paraId="5F770AD6" w14:textId="048EB870" w:rsidR="000C1C34" w:rsidRDefault="000C1C34" w:rsidP="000C1C34">
      <w:pPr>
        <w:rPr>
          <w:lang w:val="en-US"/>
        </w:rPr>
      </w:pPr>
      <w:r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Day</w:t>
      </w:r>
      <w:r w:rsidRPr="00E87C7D">
        <w:rPr>
          <w:lang w:val="en-US"/>
        </w:rPr>
        <w:t>”</w:t>
      </w:r>
      <w:r>
        <w:rPr>
          <w:lang w:val="en-US"/>
        </w:rPr>
        <w:t xml:space="preserve"> is </w:t>
      </w:r>
      <w:r w:rsidR="00805782">
        <w:rPr>
          <w:lang w:val="en-US"/>
        </w:rPr>
        <w:t>1</w:t>
      </w:r>
      <w:r>
        <w:rPr>
          <w:lang w:val="en-US"/>
        </w:rPr>
        <w:t>0</w:t>
      </w:r>
      <w:r w:rsidRPr="00023BD4">
        <w:rPr>
          <w:lang w:val="en-US"/>
        </w:rPr>
        <w:t xml:space="preserve"> </w:t>
      </w:r>
      <w:r w:rsidRPr="00023BD4">
        <w:rPr>
          <w:smallCaps/>
          <w:lang w:val="en-US"/>
        </w:rPr>
        <w:t>Business Days</w:t>
      </w:r>
      <w:r w:rsidRPr="00023BD4">
        <w:rPr>
          <w:lang w:val="en-US"/>
        </w:rPr>
        <w:t xml:space="preserve"> </w:t>
      </w:r>
      <w:r>
        <w:rPr>
          <w:lang w:val="en-US"/>
        </w:rPr>
        <w:t xml:space="preserve">before the scheduled </w:t>
      </w:r>
      <w:r w:rsidRPr="00980907">
        <w:rPr>
          <w:smallCaps/>
          <w:lang w:val="en-US"/>
        </w:rPr>
        <w:t>Rebalance Day</w:t>
      </w:r>
      <w:r>
        <w:rPr>
          <w:lang w:val="en-US"/>
        </w:rPr>
        <w:t>.</w:t>
      </w:r>
    </w:p>
    <w:p w14:paraId="6ABAEB44" w14:textId="5C217ACF" w:rsidR="000C1C34" w:rsidRDefault="000C1C34" w:rsidP="000C1C34">
      <w:pPr>
        <w:spacing w:before="0" w:after="160" w:line="259" w:lineRule="auto"/>
        <w:rPr>
          <w:lang w:val="en-GB"/>
        </w:rPr>
      </w:pPr>
      <w:r w:rsidRPr="000C1C34">
        <w:rPr>
          <w:lang w:val="en-GB"/>
        </w:rPr>
        <w:t>[…]</w:t>
      </w:r>
      <w:r>
        <w:rPr>
          <w:lang w:val="en-GB"/>
        </w:rPr>
        <w:t>”</w:t>
      </w:r>
    </w:p>
    <w:p w14:paraId="0DB2DE06" w14:textId="22EACEB2" w:rsidR="000C1C34" w:rsidRDefault="000C1C34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New:</w:t>
      </w:r>
    </w:p>
    <w:p w14:paraId="20F12EE2" w14:textId="77777777" w:rsidR="000C1C34" w:rsidRDefault="000C1C34" w:rsidP="000C1C34">
      <w:pPr>
        <w:spacing w:before="0" w:after="160" w:line="259" w:lineRule="auto"/>
        <w:rPr>
          <w:lang w:val="en-GB"/>
        </w:rPr>
      </w:pPr>
      <w:r>
        <w:rPr>
          <w:lang w:val="en-GB"/>
        </w:rPr>
        <w:t>“</w:t>
      </w:r>
      <w:r w:rsidRPr="000C1C34">
        <w:rPr>
          <w:lang w:val="en-GB"/>
        </w:rPr>
        <w:t>[…]</w:t>
      </w:r>
    </w:p>
    <w:p w14:paraId="5FA05643" w14:textId="4831C25D" w:rsidR="000C1C34" w:rsidRPr="006E6BED" w:rsidRDefault="000C1C34" w:rsidP="000C1C34">
      <w:pPr>
        <w:rPr>
          <w:rFonts w:ascii="Flama Semicondensed Medium" w:hAnsi="Flama Semicondensed Medium"/>
          <w:lang w:val="en-US"/>
        </w:rPr>
      </w:pPr>
      <w:r w:rsidRPr="00E87C7D"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Rebalance Day</w:t>
      </w:r>
      <w:r w:rsidRPr="00E87C7D">
        <w:rPr>
          <w:lang w:val="en-US"/>
        </w:rPr>
        <w:t>” is</w:t>
      </w:r>
      <w:r>
        <w:rPr>
          <w:lang w:val="en-US"/>
        </w:rPr>
        <w:t xml:space="preserve"> </w:t>
      </w:r>
      <w:r w:rsidRPr="00023BD4">
        <w:rPr>
          <w:lang w:val="en-US"/>
        </w:rPr>
        <w:t xml:space="preserve">the </w:t>
      </w:r>
      <w:r>
        <w:rPr>
          <w:lang w:val="en-US"/>
        </w:rPr>
        <w:t>first</w:t>
      </w:r>
      <w:r w:rsidRPr="00023BD4">
        <w:rPr>
          <w:lang w:val="en-US"/>
        </w:rPr>
        <w:t xml:space="preserve"> </w:t>
      </w:r>
      <w:r>
        <w:rPr>
          <w:lang w:val="en-US"/>
        </w:rPr>
        <w:t xml:space="preserve">Wednesday </w:t>
      </w:r>
      <w:r w:rsidRPr="00023BD4">
        <w:rPr>
          <w:lang w:val="en-US"/>
        </w:rPr>
        <w:t>in February</w:t>
      </w:r>
      <w:r>
        <w:rPr>
          <w:lang w:val="en-US"/>
        </w:rPr>
        <w:t>, May, August and November</w:t>
      </w:r>
      <w:r w:rsidRPr="00023BD4">
        <w:rPr>
          <w:lang w:val="en-US"/>
        </w:rPr>
        <w:t>.</w:t>
      </w:r>
      <w:r>
        <w:rPr>
          <w:lang w:val="en-US"/>
        </w:rPr>
        <w:t xml:space="preserve"> </w:t>
      </w:r>
      <w:r w:rsidRPr="00DD76C9">
        <w:rPr>
          <w:lang w:val="en-US"/>
        </w:rPr>
        <w:t xml:space="preserve">If that day is not an Eligible Rebalance Day, the </w:t>
      </w:r>
      <w:r>
        <w:rPr>
          <w:lang w:val="en-US"/>
        </w:rPr>
        <w:t>Rebalance Day</w:t>
      </w:r>
      <w:r w:rsidRPr="00DD76C9">
        <w:rPr>
          <w:lang w:val="en-US"/>
        </w:rPr>
        <w:t xml:space="preserve"> will be </w:t>
      </w:r>
      <w:proofErr w:type="gramStart"/>
      <w:r w:rsidRPr="00DD76C9">
        <w:rPr>
          <w:lang w:val="en-US"/>
        </w:rPr>
        <w:t>the immediately</w:t>
      </w:r>
      <w:proofErr w:type="gramEnd"/>
      <w:r w:rsidRPr="00DD76C9">
        <w:rPr>
          <w:lang w:val="en-US"/>
        </w:rPr>
        <w:t xml:space="preserve"> following Eligible Rebalance Day</w:t>
      </w:r>
      <w:r>
        <w:rPr>
          <w:lang w:val="en-US"/>
        </w:rPr>
        <w:t>.</w:t>
      </w:r>
    </w:p>
    <w:p w14:paraId="251A3117" w14:textId="77777777" w:rsidR="000C1C34" w:rsidRDefault="000C1C34" w:rsidP="000C1C34">
      <w:pPr>
        <w:spacing w:before="0" w:after="160" w:line="259" w:lineRule="auto"/>
        <w:rPr>
          <w:lang w:val="en-GB"/>
        </w:rPr>
      </w:pPr>
      <w:r w:rsidRPr="000C1C34">
        <w:rPr>
          <w:lang w:val="en-GB"/>
        </w:rPr>
        <w:t>[…]</w:t>
      </w:r>
    </w:p>
    <w:p w14:paraId="78DA16A5" w14:textId="77777777" w:rsidR="000C1C34" w:rsidRDefault="000C1C34" w:rsidP="000C1C34">
      <w:pPr>
        <w:rPr>
          <w:lang w:val="en-US"/>
        </w:rPr>
      </w:pPr>
      <w:r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Day</w:t>
      </w:r>
      <w:r w:rsidRPr="00E87C7D">
        <w:rPr>
          <w:lang w:val="en-US"/>
        </w:rPr>
        <w:t>”</w:t>
      </w:r>
      <w:r>
        <w:rPr>
          <w:lang w:val="en-US"/>
        </w:rPr>
        <w:t xml:space="preserve"> is 20</w:t>
      </w:r>
      <w:r w:rsidRPr="00023BD4">
        <w:rPr>
          <w:lang w:val="en-US"/>
        </w:rPr>
        <w:t xml:space="preserve"> </w:t>
      </w:r>
      <w:r w:rsidRPr="00023BD4">
        <w:rPr>
          <w:smallCaps/>
          <w:lang w:val="en-US"/>
        </w:rPr>
        <w:t>Business Days</w:t>
      </w:r>
      <w:r w:rsidRPr="00023BD4">
        <w:rPr>
          <w:lang w:val="en-US"/>
        </w:rPr>
        <w:t xml:space="preserve"> </w:t>
      </w:r>
      <w:r>
        <w:rPr>
          <w:lang w:val="en-US"/>
        </w:rPr>
        <w:t xml:space="preserve">before the scheduled </w:t>
      </w:r>
      <w:r w:rsidRPr="00980907">
        <w:rPr>
          <w:smallCaps/>
          <w:lang w:val="en-US"/>
        </w:rPr>
        <w:t>Rebalance Day</w:t>
      </w:r>
      <w:r>
        <w:rPr>
          <w:lang w:val="en-US"/>
        </w:rPr>
        <w:t>.</w:t>
      </w:r>
    </w:p>
    <w:p w14:paraId="61A3A93B" w14:textId="77777777" w:rsidR="000C1C34" w:rsidRDefault="000C1C34" w:rsidP="000C1C34">
      <w:pPr>
        <w:spacing w:before="0" w:after="160" w:line="259" w:lineRule="auto"/>
        <w:rPr>
          <w:lang w:val="en-GB"/>
        </w:rPr>
      </w:pPr>
      <w:r w:rsidRPr="000C1C34">
        <w:rPr>
          <w:lang w:val="en-GB"/>
        </w:rPr>
        <w:t>[…]</w:t>
      </w:r>
      <w:r>
        <w:rPr>
          <w:lang w:val="en-GB"/>
        </w:rPr>
        <w:t>”</w:t>
      </w:r>
    </w:p>
    <w:p w14:paraId="23FCEECD" w14:textId="77777777" w:rsidR="000C1C34" w:rsidRDefault="000C1C34" w:rsidP="0026131F">
      <w:pPr>
        <w:spacing w:before="0" w:after="160" w:line="259" w:lineRule="auto"/>
        <w:rPr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397FCD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7A6FC0">
        <w:rPr>
          <w:lang w:val="en-US"/>
        </w:rPr>
        <w:t xml:space="preserve"> </w:t>
      </w:r>
      <w:r w:rsidR="007A6FC0" w:rsidRPr="007A6FC0">
        <w:rPr>
          <w:lang w:val="en-US"/>
        </w:rPr>
        <w:t xml:space="preserve">Solactive Gold &amp; Silver Miners US Listing Carbon Tilted </w:t>
      </w:r>
      <w:proofErr w:type="gramStart"/>
      <w:r w:rsidR="007A6FC0" w:rsidRPr="007A6FC0">
        <w:rPr>
          <w:lang w:val="en-US"/>
        </w:rPr>
        <w:t>Index</w:t>
      </w:r>
      <w:r w:rsidR="00591607" w:rsidRPr="00C04273">
        <w:rPr>
          <w:lang w:val="en-US"/>
        </w:rPr>
        <w:t xml:space="preserve"> 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>and</w:t>
      </w:r>
      <w:proofErr w:type="gramEnd"/>
      <w:r w:rsidRPr="00C04273">
        <w:rPr>
          <w:lang w:val="en-US"/>
        </w:rPr>
        <w:t xml:space="preserve">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F2553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E8141FC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until </w:t>
      </w:r>
      <w:r w:rsidR="0063210D">
        <w:rPr>
          <w:lang w:val="en-US"/>
        </w:rPr>
        <w:t>29/04/2025.</w:t>
      </w:r>
      <w:r w:rsidR="0063210D">
        <w:rPr>
          <w:i/>
          <w:highlight w:val="yellow"/>
          <w:lang w:val="en-US"/>
        </w:rPr>
        <w:t xml:space="preserve"> </w:t>
      </w:r>
    </w:p>
    <w:p w14:paraId="741A56A5" w14:textId="6E603D90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0F2553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0F2553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63210D">
        <w:rPr>
          <w:lang w:val="en-US"/>
        </w:rPr>
        <w:t xml:space="preserve"> 13/05/2025</w:t>
      </w:r>
      <w:r w:rsidR="000F3234" w:rsidRPr="000F2553">
        <w:rPr>
          <w:lang w:val="en-US"/>
        </w:rPr>
        <w:t>]</w:t>
      </w:r>
      <w:r w:rsidR="004819FA" w:rsidRPr="000F2553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A0489A8" w:rsidR="005055F5" w:rsidRPr="000F2553" w:rsidRDefault="005055F5" w:rsidP="005055F5">
      <w:pPr>
        <w:spacing w:before="0" w:after="0" w:line="360" w:lineRule="auto"/>
        <w:rPr>
          <w:b/>
          <w:bCs/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5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="007A6FC0" w:rsidRPr="007A6FC0">
        <w:rPr>
          <w:b/>
          <w:bCs/>
          <w:lang w:val="en-US"/>
        </w:rPr>
        <w:t>M</w:t>
      </w:r>
      <w:r w:rsidR="007A6FC0">
        <w:rPr>
          <w:b/>
          <w:bCs/>
          <w:lang w:val="en-US"/>
        </w:rPr>
        <w:t>arket</w:t>
      </w:r>
      <w:r w:rsidR="007A6FC0" w:rsidRPr="007A6FC0">
        <w:rPr>
          <w:b/>
          <w:bCs/>
          <w:lang w:val="en-US"/>
        </w:rPr>
        <w:t xml:space="preserve"> C</w:t>
      </w:r>
      <w:r w:rsidR="007A6FC0">
        <w:rPr>
          <w:b/>
          <w:bCs/>
          <w:lang w:val="en-US"/>
        </w:rPr>
        <w:t>onsultation</w:t>
      </w:r>
      <w:r w:rsidR="007A6FC0" w:rsidRPr="007A6FC0">
        <w:rPr>
          <w:b/>
          <w:bCs/>
          <w:lang w:val="en-US"/>
        </w:rPr>
        <w:t xml:space="preserve"> - S</w:t>
      </w:r>
      <w:r w:rsidR="007A6FC0">
        <w:rPr>
          <w:b/>
          <w:bCs/>
          <w:lang w:val="en-US"/>
        </w:rPr>
        <w:t>olactive</w:t>
      </w:r>
      <w:r w:rsidR="007A6FC0" w:rsidRPr="007A6FC0">
        <w:rPr>
          <w:b/>
          <w:bCs/>
          <w:lang w:val="en-US"/>
        </w:rPr>
        <w:t xml:space="preserve"> G</w:t>
      </w:r>
      <w:r w:rsidR="007A6FC0">
        <w:rPr>
          <w:b/>
          <w:bCs/>
          <w:lang w:val="en-US"/>
        </w:rPr>
        <w:t>old</w:t>
      </w:r>
      <w:r w:rsidR="007A6FC0" w:rsidRPr="007A6FC0">
        <w:rPr>
          <w:b/>
          <w:bCs/>
          <w:lang w:val="en-US"/>
        </w:rPr>
        <w:t xml:space="preserve"> &amp; S</w:t>
      </w:r>
      <w:r w:rsidR="007A6FC0">
        <w:rPr>
          <w:b/>
          <w:bCs/>
          <w:lang w:val="en-US"/>
        </w:rPr>
        <w:t>ilver</w:t>
      </w:r>
      <w:r w:rsidR="007A6FC0" w:rsidRPr="007A6FC0">
        <w:rPr>
          <w:b/>
          <w:bCs/>
          <w:lang w:val="en-US"/>
        </w:rPr>
        <w:t xml:space="preserve"> M</w:t>
      </w:r>
      <w:r w:rsidR="007A6FC0">
        <w:rPr>
          <w:b/>
          <w:bCs/>
          <w:lang w:val="en-US"/>
        </w:rPr>
        <w:t>iners</w:t>
      </w:r>
      <w:r w:rsidR="007A6FC0" w:rsidRPr="007A6FC0">
        <w:rPr>
          <w:b/>
          <w:bCs/>
          <w:lang w:val="en-US"/>
        </w:rPr>
        <w:t xml:space="preserve"> US L</w:t>
      </w:r>
      <w:r w:rsidR="007A6FC0">
        <w:rPr>
          <w:b/>
          <w:bCs/>
          <w:lang w:val="en-US"/>
        </w:rPr>
        <w:t>isting</w:t>
      </w:r>
      <w:r w:rsidR="007A6FC0" w:rsidRPr="007A6FC0">
        <w:rPr>
          <w:b/>
          <w:bCs/>
          <w:lang w:val="en-US"/>
        </w:rPr>
        <w:t xml:space="preserve"> C</w:t>
      </w:r>
      <w:r w:rsidR="007A6FC0">
        <w:rPr>
          <w:b/>
          <w:bCs/>
          <w:lang w:val="en-US"/>
        </w:rPr>
        <w:t>arbon</w:t>
      </w:r>
      <w:r w:rsidR="007A6FC0" w:rsidRPr="007A6FC0">
        <w:rPr>
          <w:b/>
          <w:bCs/>
          <w:lang w:val="en-US"/>
        </w:rPr>
        <w:t xml:space="preserve"> T</w:t>
      </w:r>
      <w:r w:rsidR="007A6FC0">
        <w:rPr>
          <w:b/>
          <w:bCs/>
          <w:lang w:val="en-US"/>
        </w:rPr>
        <w:t>ilted</w:t>
      </w:r>
      <w:r w:rsidR="007A6FC0" w:rsidRPr="007A6FC0">
        <w:rPr>
          <w:b/>
          <w:bCs/>
          <w:lang w:val="en-US"/>
        </w:rPr>
        <w:t xml:space="preserve"> I</w:t>
      </w:r>
      <w:r w:rsidR="007A6FC0">
        <w:rPr>
          <w:b/>
          <w:bCs/>
          <w:lang w:val="en-US"/>
        </w:rPr>
        <w:t>ndex</w:t>
      </w:r>
      <w:r w:rsidR="007A6FC0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0F2553" w:rsidRDefault="003D0D25" w:rsidP="003D0D25">
      <w:pPr>
        <w:spacing w:after="0"/>
        <w:ind w:left="1416" w:firstLine="708"/>
        <w:rPr>
          <w:lang w:val="en-US"/>
        </w:rPr>
      </w:pPr>
      <w:r w:rsidRPr="000F2553">
        <w:rPr>
          <w:lang w:val="en-US"/>
        </w:rPr>
        <w:t>Germany</w:t>
      </w:r>
    </w:p>
    <w:p w14:paraId="752A804F" w14:textId="7A894BF5" w:rsidR="00753C1C" w:rsidRPr="000F255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</w:t>
      </w:r>
      <w:proofErr w:type="gramStart"/>
      <w:r w:rsidRPr="00C04273">
        <w:rPr>
          <w:lang w:val="en-US"/>
        </w:rPr>
        <w:t>above</w:t>
      </w:r>
      <w:proofErr w:type="gramEnd"/>
      <w:r w:rsidRPr="00C04273">
        <w:rPr>
          <w:lang w:val="en-US"/>
        </w:rPr>
        <w:t xml:space="preserve"> email address.</w:t>
      </w:r>
    </w:p>
    <w:p w14:paraId="0034008D" w14:textId="13CCFDF4" w:rsidR="00753C1C" w:rsidRPr="000F2553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1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7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20"/>
      <w:footerReference w:type="defaul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erhards, Svend" w:date="2019-01-30T09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F7D65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FFBF296" w16cex:dateUtc="2019-01-30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F7D65AC" w16cid:durableId="1FFBF2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493963-EF5E-4AE9-8FD2-BFA65AC82AEA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9082849-3B2B-44C8-907F-F198A7B57703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C6FB055-EF9B-47E1-BA58-FBED5F351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7B21E0C6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F06BE">
          <w:rPr>
            <w:lang w:val="en-US"/>
          </w:rPr>
          <w:t>Market Consultation - Solactive Gold &amp; Silver Miners US Listing Carbon Tilted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946BB1"/>
    <w:multiLevelType w:val="hybridMultilevel"/>
    <w:tmpl w:val="93D86E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636D43"/>
    <w:multiLevelType w:val="hybridMultilevel"/>
    <w:tmpl w:val="ABB49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826197">
    <w:abstractNumId w:val="6"/>
  </w:num>
  <w:num w:numId="2" w16cid:durableId="990791470">
    <w:abstractNumId w:val="7"/>
  </w:num>
  <w:num w:numId="3" w16cid:durableId="572785629">
    <w:abstractNumId w:val="17"/>
  </w:num>
  <w:num w:numId="4" w16cid:durableId="509762090">
    <w:abstractNumId w:val="21"/>
  </w:num>
  <w:num w:numId="5" w16cid:durableId="2011134518">
    <w:abstractNumId w:val="16"/>
  </w:num>
  <w:num w:numId="6" w16cid:durableId="723408920">
    <w:abstractNumId w:val="8"/>
  </w:num>
  <w:num w:numId="7" w16cid:durableId="778841716">
    <w:abstractNumId w:val="20"/>
  </w:num>
  <w:num w:numId="8" w16cid:durableId="1031491633">
    <w:abstractNumId w:val="3"/>
  </w:num>
  <w:num w:numId="9" w16cid:durableId="221454402">
    <w:abstractNumId w:val="13"/>
  </w:num>
  <w:num w:numId="10" w16cid:durableId="928807786">
    <w:abstractNumId w:val="12"/>
  </w:num>
  <w:num w:numId="11" w16cid:durableId="1076827071">
    <w:abstractNumId w:val="2"/>
  </w:num>
  <w:num w:numId="12" w16cid:durableId="1896162985">
    <w:abstractNumId w:val="1"/>
  </w:num>
  <w:num w:numId="13" w16cid:durableId="546065608">
    <w:abstractNumId w:val="14"/>
  </w:num>
  <w:num w:numId="14" w16cid:durableId="295113386">
    <w:abstractNumId w:val="10"/>
  </w:num>
  <w:num w:numId="15" w16cid:durableId="69276868">
    <w:abstractNumId w:val="5"/>
  </w:num>
  <w:num w:numId="16" w16cid:durableId="2110929835">
    <w:abstractNumId w:val="11"/>
  </w:num>
  <w:num w:numId="17" w16cid:durableId="133958155">
    <w:abstractNumId w:val="22"/>
  </w:num>
  <w:num w:numId="18" w16cid:durableId="334576573">
    <w:abstractNumId w:val="9"/>
  </w:num>
  <w:num w:numId="19" w16cid:durableId="3022977">
    <w:abstractNumId w:val="18"/>
  </w:num>
  <w:num w:numId="20" w16cid:durableId="1496652766">
    <w:abstractNumId w:val="19"/>
  </w:num>
  <w:num w:numId="21" w16cid:durableId="655496330">
    <w:abstractNumId w:val="0"/>
  </w:num>
  <w:num w:numId="22" w16cid:durableId="2004161628">
    <w:abstractNumId w:val="4"/>
  </w:num>
  <w:num w:numId="23" w16cid:durableId="326521299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erhards, Svend">
    <w15:presenceInfo w15:providerId="AD" w15:userId="S-1-5-21-2970609099-2225018792-1399579699-2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1C34"/>
    <w:rsid w:val="000C5F8E"/>
    <w:rsid w:val="000D0FF1"/>
    <w:rsid w:val="000E3D03"/>
    <w:rsid w:val="000F2553"/>
    <w:rsid w:val="000F3234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C87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B6055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0EB8"/>
    <w:rsid w:val="00471895"/>
    <w:rsid w:val="00475079"/>
    <w:rsid w:val="004819FA"/>
    <w:rsid w:val="00490CA4"/>
    <w:rsid w:val="004A428F"/>
    <w:rsid w:val="004B1C63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085F"/>
    <w:rsid w:val="005A2BE7"/>
    <w:rsid w:val="005A6736"/>
    <w:rsid w:val="005B5236"/>
    <w:rsid w:val="005C08AA"/>
    <w:rsid w:val="005C210C"/>
    <w:rsid w:val="005C5410"/>
    <w:rsid w:val="005E2B50"/>
    <w:rsid w:val="005E5094"/>
    <w:rsid w:val="005E61B4"/>
    <w:rsid w:val="005F06BE"/>
    <w:rsid w:val="00621EE1"/>
    <w:rsid w:val="00626C9C"/>
    <w:rsid w:val="0063017D"/>
    <w:rsid w:val="00631951"/>
    <w:rsid w:val="0063210D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A6FC0"/>
    <w:rsid w:val="007C263C"/>
    <w:rsid w:val="007C26BC"/>
    <w:rsid w:val="007D1364"/>
    <w:rsid w:val="007D137F"/>
    <w:rsid w:val="007D2A93"/>
    <w:rsid w:val="007D4AB3"/>
    <w:rsid w:val="007E035C"/>
    <w:rsid w:val="007E0474"/>
    <w:rsid w:val="007E0ACA"/>
    <w:rsid w:val="007E47D4"/>
    <w:rsid w:val="007F237F"/>
    <w:rsid w:val="00803EE8"/>
    <w:rsid w:val="00805782"/>
    <w:rsid w:val="00810B5C"/>
    <w:rsid w:val="00823F62"/>
    <w:rsid w:val="00830616"/>
    <w:rsid w:val="008345B7"/>
    <w:rsid w:val="00851638"/>
    <w:rsid w:val="00852511"/>
    <w:rsid w:val="00860442"/>
    <w:rsid w:val="00866CA6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091F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AF585C"/>
    <w:rsid w:val="00B01B34"/>
    <w:rsid w:val="00B041EA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239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39E8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C34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8C091F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59"/>
    <w:rsid w:val="000C1C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yperlink" Target="mailto:info@solactive.com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yperlink" Target="http://www.solactive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marketconsultation@solactive.com" TargetMode="External"/><Relationship Id="rId23" Type="http://schemas.microsoft.com/office/2011/relationships/people" Target="people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83763"/>
    <w:rsid w:val="00523072"/>
    <w:rsid w:val="005325BE"/>
    <w:rsid w:val="005E5094"/>
    <w:rsid w:val="007D137F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3239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720</Words>
  <Characters>4105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- Solactive Gold &amp; Silver Miners US Listing Carbon Tilted Index</vt:lpstr>
      <vt:lpstr>Index Calculation Guideline</vt:lpstr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- Solactive Gold &amp; Silver Miners US Listing Carbon Tilted Index</dc:title>
  <dc:subject>Calculation Documents &amp; Methodologies</dc:subject>
  <dc:creator>Solactive AG</dc:creator>
  <cp:keywords/>
  <dc:description/>
  <cp:lastModifiedBy>De-Martino, Mariano</cp:lastModifiedBy>
  <cp:revision>9</cp:revision>
  <cp:lastPrinted>2018-12-10T16:54:00Z</cp:lastPrinted>
  <dcterms:created xsi:type="dcterms:W3CDTF">2025-04-14T12:51:00Z</dcterms:created>
  <dcterms:modified xsi:type="dcterms:W3CDTF">2025-04-15T14:37:00Z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