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7786CC6B" w:rsidR="0092193A" w:rsidRPr="0097651D" w:rsidRDefault="00590EBF" w:rsidP="0092193A">
              <w:pPr>
                <w:pStyle w:val="Title"/>
                <w:rPr>
                  <w:lang w:val="en-US"/>
                </w:rPr>
              </w:pPr>
              <w:r>
                <w:rPr>
                  <w:color w:val="FFFFFF" w:themeColor="background1"/>
                  <w:lang w:val="en-US"/>
                </w:rPr>
                <w:t>M</w:t>
              </w:r>
              <w:r w:rsidR="00D00370">
                <w:rPr>
                  <w:color w:val="FFFFFF" w:themeColor="background1"/>
                  <w:lang w:val="en-US"/>
                </w:rPr>
                <w:t>arket Consultation | Solactive Genomics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7F836ECD" w:rsidR="00466905" w:rsidRPr="00D902A1" w:rsidRDefault="00A63A42"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02-06T00:00:00Z">
                                      <w:dateFormat w:val="dd MMMM yyyy"/>
                                      <w:lid w:val="en-GB"/>
                                      <w:storeMappedDataAs w:val="dateTime"/>
                                      <w:calendar w:val="gregorian"/>
                                    </w:date>
                                  </w:sdtPr>
                                  <w:sdtEndPr/>
                                  <w:sdtContent>
                                    <w:r w:rsidR="00590EBF">
                                      <w:rPr>
                                        <w:color w:val="FFFFFF" w:themeColor="background1"/>
                                        <w:sz w:val="26"/>
                                        <w:szCs w:val="26"/>
                                        <w:lang w:val="en-GB"/>
                                      </w:rPr>
                                      <w:t>06 February 2025</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7F836ECD" w:rsidR="00466905" w:rsidRPr="00D902A1" w:rsidRDefault="00A63A42"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02-06T00:00:00Z">
                                <w:dateFormat w:val="dd MMMM yyyy"/>
                                <w:lid w:val="en-GB"/>
                                <w:storeMappedDataAs w:val="dateTime"/>
                                <w:calendar w:val="gregorian"/>
                              </w:date>
                            </w:sdtPr>
                            <w:sdtEndPr/>
                            <w:sdtContent>
                              <w:r w:rsidR="00590EBF">
                                <w:rPr>
                                  <w:color w:val="FFFFFF" w:themeColor="background1"/>
                                  <w:sz w:val="26"/>
                                  <w:szCs w:val="26"/>
                                  <w:lang w:val="en-GB"/>
                                </w:rPr>
                                <w:t>06 February 2025</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5F8312BB"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590EBF">
        <w:rPr>
          <w:lang w:val="en-US"/>
        </w:rPr>
        <w:t>indices</w:t>
      </w:r>
      <w:r w:rsidR="00E05994">
        <w:rPr>
          <w:lang w:val="en-US"/>
        </w:rPr>
        <w:t xml:space="preserve"> (the ‘</w:t>
      </w:r>
      <w:r w:rsidR="00590EBF">
        <w:rPr>
          <w:lang w:val="en-US"/>
        </w:rPr>
        <w:t>indices</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1986C86E" w14:textId="55EDD043" w:rsidR="00E05994" w:rsidRPr="003A1DD5" w:rsidRDefault="00D00370" w:rsidP="00466905">
            <w:pPr>
              <w:spacing w:line="256" w:lineRule="auto"/>
              <w:rPr>
                <w:rFonts w:eastAsia="Calibri"/>
                <w:color w:val="000000"/>
                <w:sz w:val="22"/>
                <w:szCs w:val="22"/>
                <w:lang w:val="en-US" w:eastAsia="en-US"/>
              </w:rPr>
            </w:pPr>
            <w:r w:rsidRPr="00D00370">
              <w:rPr>
                <w:rFonts w:eastAsia="Calibri"/>
                <w:color w:val="000000"/>
                <w:sz w:val="22"/>
                <w:szCs w:val="22"/>
                <w:lang w:val="en-US" w:eastAsia="en-US"/>
              </w:rPr>
              <w:t>Solactive Genomics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2C3F688" w14:textId="17DCB812" w:rsidR="00E05994" w:rsidRDefault="00D00370" w:rsidP="00466905">
            <w:pPr>
              <w:spacing w:line="256" w:lineRule="auto"/>
              <w:rPr>
                <w:rFonts w:eastAsia="Calibri"/>
                <w:color w:val="000000"/>
                <w:lang w:val="en-GB" w:eastAsia="en-US"/>
              </w:rPr>
            </w:pPr>
            <w:r w:rsidRPr="00DB5377">
              <w:t>.SOLGNOM</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12D59FB1" w14:textId="4B2F1777" w:rsidR="00E05994" w:rsidRDefault="00D00370" w:rsidP="00466905">
            <w:pPr>
              <w:spacing w:line="256" w:lineRule="auto"/>
              <w:rPr>
                <w:rFonts w:eastAsia="Calibri"/>
                <w:color w:val="000000"/>
                <w:lang w:val="en-GB" w:eastAsia="en-US"/>
              </w:rPr>
            </w:pPr>
            <w:r w:rsidRPr="00DB5377">
              <w:t>DE000SLA7166</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rPr>
        <w:t xml:space="preserve">the </w:t>
      </w:r>
      <w:r w:rsidR="004D6535" w:rsidRPr="0026131F">
        <w:rPr>
          <w:b/>
          <w:bCs/>
          <w:sz w:val="28"/>
          <w:szCs w:val="28"/>
          <w:u w:val="single"/>
          <w:lang w:val="en-GB"/>
        </w:rPr>
        <w:t>Market Consultation</w:t>
      </w:r>
    </w:p>
    <w:p w14:paraId="75E96E90" w14:textId="4E826C76" w:rsidR="00233B75" w:rsidRDefault="00706287" w:rsidP="00783C68">
      <w:pPr>
        <w:spacing w:before="0" w:after="160" w:line="259" w:lineRule="auto"/>
        <w:jc w:val="left"/>
        <w:rPr>
          <w:lang w:val="en-GB"/>
        </w:rPr>
      </w:pPr>
      <w:r w:rsidRPr="00706287">
        <w:t>The market consultation aims to enhance the index's thematic coverage by increasing the number of constituents from 40 to 50 and allowing the inclusion of pre-revenue and diversified companies alongside existing pure players. This adjustment ensures the index evolves with industry trends, maintaining its relevance and accuracy. While no standard market practices govern these changes, thematic industries often require methodological updates to reflect shifting market dynamics. To maintain balance, the weights of diversified players will be capped at an aggregate 10%, with an individual weight limit of 2%.</w:t>
      </w:r>
      <w:r w:rsidRPr="00706287" w:rsidDel="00706287">
        <w:rPr>
          <w:lang w:val="en-GB"/>
        </w:rPr>
        <w:t xml:space="preserve"> </w:t>
      </w:r>
    </w:p>
    <w:p w14:paraId="2BF4DE5A" w14:textId="77777777" w:rsidR="007E47D4" w:rsidRDefault="007E47D4" w:rsidP="00F568D6">
      <w:pPr>
        <w:spacing w:before="0" w:after="160" w:line="259" w:lineRule="auto"/>
        <w:jc w:val="left"/>
        <w:rPr>
          <w:u w:val="single"/>
          <w:lang w:val="en-GB"/>
        </w:rPr>
      </w:pPr>
    </w:p>
    <w:p w14:paraId="2A079CAD" w14:textId="56EB379C"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590EBF">
        <w:rPr>
          <w:b/>
          <w:bCs/>
          <w:sz w:val="28"/>
          <w:szCs w:val="28"/>
          <w:u w:val="single"/>
        </w:rPr>
        <w:t>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2DBA7E5F" w:rsidR="004A428F" w:rsidRDefault="004A428F" w:rsidP="0026131F">
      <w:pPr>
        <w:spacing w:before="0" w:after="160" w:line="259" w:lineRule="auto"/>
        <w:rPr>
          <w:lang w:val="en-GB"/>
        </w:rPr>
      </w:pPr>
      <w:r>
        <w:rPr>
          <w:lang w:val="en-GB"/>
        </w:rPr>
        <w:t xml:space="preserve">The following Methodology </w:t>
      </w:r>
      <w:r w:rsidR="00590EBF">
        <w:rPr>
          <w:lang w:val="en-GB"/>
        </w:rPr>
        <w:t xml:space="preserve">changes are </w:t>
      </w:r>
      <w:r>
        <w:rPr>
          <w:lang w:val="en-GB"/>
        </w:rPr>
        <w:t>proposed in the following poin</w:t>
      </w:r>
      <w:r w:rsidR="00590EBF">
        <w:rPr>
          <w:lang w:val="en-GB"/>
        </w:rPr>
        <w:t xml:space="preserve">ts </w:t>
      </w:r>
      <w:r w:rsidR="00C32515">
        <w:rPr>
          <w:lang w:val="en-GB"/>
        </w:rPr>
        <w:t xml:space="preserve">of the Index Guideline </w:t>
      </w:r>
      <w:r>
        <w:rPr>
          <w:lang w:val="en-GB"/>
        </w:rPr>
        <w:t xml:space="preserve"> (ordered in accordance with the numbering of the affected sections):</w:t>
      </w:r>
    </w:p>
    <w:p w14:paraId="62E5DC8B" w14:textId="77777777" w:rsidR="00706287" w:rsidRPr="00B024B7" w:rsidRDefault="00706287" w:rsidP="00706287">
      <w:pPr>
        <w:pStyle w:val="Heading2"/>
        <w:rPr>
          <w:lang w:val="en-US" w:eastAsia="en-US"/>
        </w:rPr>
      </w:pPr>
      <w:bookmarkStart w:id="1" w:name="_Toc117095877"/>
      <w:r>
        <w:rPr>
          <w:lang w:val="en-US" w:eastAsia="en-US"/>
        </w:rPr>
        <w:t>2.2. SELECTION of the Index Components</w:t>
      </w:r>
      <w:bookmarkEnd w:id="1"/>
    </w:p>
    <w:p w14:paraId="274A994A" w14:textId="77777777" w:rsidR="00706287" w:rsidRPr="00DB5377" w:rsidRDefault="00706287" w:rsidP="00706287">
      <w:pPr>
        <w:rPr>
          <w:b/>
          <w:bCs/>
          <w:i/>
          <w:iCs/>
        </w:rPr>
      </w:pPr>
      <w:r w:rsidRPr="00DB5377">
        <w:rPr>
          <w:b/>
          <w:bCs/>
          <w:i/>
          <w:iCs/>
        </w:rPr>
        <w:t>From</w:t>
      </w:r>
      <w:bookmarkStart w:id="2" w:name="_Hlk189814162"/>
      <w:r w:rsidRPr="00DB5377">
        <w:rPr>
          <w:b/>
          <w:bCs/>
          <w:i/>
          <w:iCs/>
        </w:rPr>
        <w:t>:</w:t>
      </w:r>
    </w:p>
    <w:p w14:paraId="73E768B9" w14:textId="77777777" w:rsidR="00706287" w:rsidRPr="00B024B7" w:rsidRDefault="00706287" w:rsidP="00706287">
      <w:pPr>
        <w:pStyle w:val="ListParagraph"/>
        <w:numPr>
          <w:ilvl w:val="0"/>
          <w:numId w:val="23"/>
        </w:numPr>
        <w:rPr>
          <w:rFonts w:eastAsia="Calibri"/>
          <w:lang w:val="en-US" w:eastAsia="en-US"/>
        </w:rPr>
      </w:pPr>
      <w:r w:rsidRPr="00B024B7">
        <w:rPr>
          <w:rFonts w:eastAsia="Calibri"/>
          <w:lang w:val="en-US" w:eastAsia="en-US"/>
        </w:rPr>
        <w:t>Companies are only eligible if they generate at least 50% of their revenues from Genomics related business operations and/or are classified as “Biotechnology” according to the FactSet Industries and Economic Sectors classification system. Genomics business operations include the following: (i) gene editing (ii) genomic sequencing (iii) development and testing of genetic medicine/therapies, and/or (iv) computational genomics and genetic diagnostics. If a company is a potential candidate for inclusion as a result of its classification as “Biotechnology”, its exposure to the field of Genomics is further reviewed and confirmed by analyzing the company’s R&amp;D expenditures, product pipeline, and operating business segments. The remaining companies are ranked by their INDEX Score, and the 40 highest ranking companies are determined as the final INDEX constituents.</w:t>
      </w:r>
    </w:p>
    <w:p w14:paraId="0FA96DEE" w14:textId="77777777" w:rsidR="00706287" w:rsidRPr="00DB5377" w:rsidRDefault="00706287" w:rsidP="00706287"/>
    <w:p w14:paraId="71EB0C83" w14:textId="77777777" w:rsidR="00706287" w:rsidRPr="00DB5377" w:rsidRDefault="00706287" w:rsidP="00706287">
      <w:pPr>
        <w:rPr>
          <w:b/>
          <w:bCs/>
          <w:i/>
          <w:iCs/>
        </w:rPr>
      </w:pPr>
      <w:r w:rsidRPr="00DB5377">
        <w:rPr>
          <w:b/>
          <w:bCs/>
          <w:i/>
          <w:iCs/>
        </w:rPr>
        <w:t>To:</w:t>
      </w:r>
    </w:p>
    <w:p w14:paraId="614C019D" w14:textId="77777777" w:rsidR="00706287" w:rsidRPr="00126B1F" w:rsidRDefault="00706287" w:rsidP="00706287">
      <w:pPr>
        <w:pStyle w:val="ListParagraph"/>
        <w:numPr>
          <w:ilvl w:val="0"/>
          <w:numId w:val="24"/>
        </w:numPr>
        <w:rPr>
          <w:rFonts w:eastAsia="Calibri"/>
          <w:lang w:val="en-US" w:eastAsia="en-US"/>
        </w:rPr>
      </w:pPr>
      <w:r w:rsidRPr="00126B1F">
        <w:rPr>
          <w:rFonts w:eastAsia="Calibri"/>
          <w:lang w:val="en-US" w:eastAsia="en-US"/>
        </w:rPr>
        <w:t>Each company is then classified as follows according to the extent to which it generates revenues from</w:t>
      </w:r>
      <w:r>
        <w:rPr>
          <w:rFonts w:eastAsia="Calibri"/>
          <w:lang w:val="en-US" w:eastAsia="en-US"/>
        </w:rPr>
        <w:t xml:space="preserve"> </w:t>
      </w:r>
      <w:r w:rsidRPr="00126B1F">
        <w:rPr>
          <w:rFonts w:eastAsia="Calibri"/>
          <w:lang w:val="en-US" w:eastAsia="en-US"/>
        </w:rPr>
        <w:t>relevant activities:</w:t>
      </w:r>
    </w:p>
    <w:p w14:paraId="3BE6BFF9" w14:textId="77777777" w:rsidR="00706287" w:rsidRDefault="00706287" w:rsidP="00706287">
      <w:pPr>
        <w:pStyle w:val="ListParagraph"/>
        <w:numPr>
          <w:ilvl w:val="0"/>
          <w:numId w:val="22"/>
        </w:numPr>
        <w:rPr>
          <w:rFonts w:eastAsia="Calibri"/>
          <w:lang w:val="en-US" w:eastAsia="en-US"/>
        </w:rPr>
      </w:pPr>
      <w:r w:rsidRPr="00126B1F">
        <w:rPr>
          <w:rFonts w:eastAsia="Calibri"/>
          <w:lang w:val="en-US" w:eastAsia="en-US"/>
        </w:rPr>
        <w:lastRenderedPageBreak/>
        <w:t xml:space="preserve">Pure-Play: Derives at least 50% of revenues from </w:t>
      </w:r>
      <w:r>
        <w:rPr>
          <w:rFonts w:eastAsia="Calibri"/>
          <w:lang w:val="en-US" w:eastAsia="en-US"/>
        </w:rPr>
        <w:t>Genomics</w:t>
      </w:r>
      <w:r w:rsidRPr="00126B1F">
        <w:rPr>
          <w:rFonts w:eastAsia="Calibri"/>
          <w:lang w:val="en-US" w:eastAsia="en-US"/>
        </w:rPr>
        <w:t xml:space="preserve"> Activities.</w:t>
      </w:r>
    </w:p>
    <w:p w14:paraId="1E5F886E" w14:textId="77777777" w:rsidR="00706287" w:rsidRDefault="00706287" w:rsidP="00706287">
      <w:pPr>
        <w:pStyle w:val="ListParagraph"/>
        <w:numPr>
          <w:ilvl w:val="0"/>
          <w:numId w:val="22"/>
        </w:numPr>
        <w:rPr>
          <w:rFonts w:eastAsia="Calibri"/>
          <w:lang w:val="en-US" w:eastAsia="en-US"/>
        </w:rPr>
      </w:pPr>
      <w:r w:rsidRPr="00126B1F">
        <w:rPr>
          <w:rFonts w:eastAsia="Calibri"/>
          <w:lang w:val="en-US" w:eastAsia="en-US"/>
        </w:rPr>
        <w:t>Pre-Revenue: Has primary business operations in Genomics Activities but does not currently generate revenues.</w:t>
      </w:r>
    </w:p>
    <w:p w14:paraId="520196B0" w14:textId="77777777" w:rsidR="00706287" w:rsidRDefault="00706287" w:rsidP="00706287">
      <w:pPr>
        <w:pStyle w:val="ListParagraph"/>
        <w:numPr>
          <w:ilvl w:val="0"/>
          <w:numId w:val="22"/>
        </w:numPr>
        <w:rPr>
          <w:rFonts w:eastAsia="Calibri"/>
          <w:lang w:val="en-US" w:eastAsia="en-US"/>
        </w:rPr>
      </w:pPr>
      <w:r w:rsidRPr="00DB5377">
        <w:rPr>
          <w:rFonts w:eastAsia="Calibri"/>
          <w:lang w:val="en-US" w:eastAsia="en-US"/>
        </w:rPr>
        <w:t xml:space="preserve">Diversified: Derives revenues from Genomics Activities but less than 50%. </w:t>
      </w:r>
    </w:p>
    <w:p w14:paraId="21FEB6A8" w14:textId="77777777" w:rsidR="00706287" w:rsidRPr="00B024B7" w:rsidRDefault="00706287" w:rsidP="00706287">
      <w:pPr>
        <w:ind w:left="321"/>
        <w:rPr>
          <w:rFonts w:eastAsia="Calibri"/>
          <w:lang w:val="en-US" w:eastAsia="en-US"/>
        </w:rPr>
      </w:pPr>
      <w:r w:rsidRPr="00B024B7">
        <w:rPr>
          <w:rFonts w:eastAsia="Calibri"/>
          <w:lang w:val="en-US" w:eastAsia="en-US"/>
        </w:rPr>
        <w:t xml:space="preserve">Genomics business operations include but are not limited to the following: (i) gene editing (ii) genomic sequencing (iii) development and testing of genetic medicine/therapies, and/or (iv) computational genomics and genetic diagnostics. The remaining companies are ranked by their </w:t>
      </w:r>
      <w:r w:rsidRPr="00B024B7">
        <w:rPr>
          <w:smallCaps/>
          <w:lang w:val="en-US"/>
        </w:rPr>
        <w:t xml:space="preserve">Index </w:t>
      </w:r>
      <w:r w:rsidRPr="00B024B7">
        <w:rPr>
          <w:rFonts w:eastAsia="Calibri"/>
          <w:lang w:val="en-US" w:eastAsia="en-US"/>
        </w:rPr>
        <w:t xml:space="preserve">Score: </w:t>
      </w:r>
    </w:p>
    <w:p w14:paraId="43B200E8" w14:textId="77777777" w:rsidR="00706287" w:rsidRDefault="00706287" w:rsidP="00706287">
      <w:pPr>
        <w:pStyle w:val="ListParagraph"/>
        <w:numPr>
          <w:ilvl w:val="0"/>
          <w:numId w:val="25"/>
        </w:numPr>
        <w:rPr>
          <w:rFonts w:eastAsia="Calibri"/>
          <w:lang w:val="en-US" w:eastAsia="en-US"/>
        </w:rPr>
      </w:pPr>
      <w:r w:rsidRPr="00807589">
        <w:rPr>
          <w:rFonts w:eastAsia="Calibri"/>
          <w:lang w:val="en-US" w:eastAsia="en-US"/>
        </w:rPr>
        <w:t xml:space="preserve">The 20 highest ranking </w:t>
      </w:r>
      <w:r>
        <w:rPr>
          <w:rFonts w:eastAsia="Calibri"/>
          <w:lang w:val="en-US" w:eastAsia="en-US"/>
        </w:rPr>
        <w:t>P</w:t>
      </w:r>
      <w:r w:rsidRPr="00807589">
        <w:rPr>
          <w:rFonts w:eastAsia="Calibri"/>
          <w:lang w:val="en-US" w:eastAsia="en-US"/>
        </w:rPr>
        <w:t>ure-</w:t>
      </w:r>
      <w:r>
        <w:rPr>
          <w:rFonts w:eastAsia="Calibri"/>
          <w:lang w:val="en-US" w:eastAsia="en-US"/>
        </w:rPr>
        <w:t>P</w:t>
      </w:r>
      <w:r w:rsidRPr="00807589">
        <w:rPr>
          <w:rFonts w:eastAsia="Calibri"/>
          <w:lang w:val="en-US" w:eastAsia="en-US"/>
        </w:rPr>
        <w:t>lay/</w:t>
      </w:r>
      <w:r>
        <w:rPr>
          <w:rFonts w:eastAsia="Calibri"/>
          <w:lang w:val="en-US" w:eastAsia="en-US"/>
        </w:rPr>
        <w:t>P</w:t>
      </w:r>
      <w:r w:rsidRPr="00807589">
        <w:rPr>
          <w:rFonts w:eastAsia="Calibri"/>
          <w:lang w:val="en-US" w:eastAsia="en-US"/>
        </w:rPr>
        <w:t>re-</w:t>
      </w:r>
      <w:r>
        <w:rPr>
          <w:rFonts w:eastAsia="Calibri"/>
          <w:lang w:val="en-US" w:eastAsia="en-US"/>
        </w:rPr>
        <w:t>R</w:t>
      </w:r>
      <w:r w:rsidRPr="00807589">
        <w:rPr>
          <w:rFonts w:eastAsia="Calibri"/>
          <w:lang w:val="en-US" w:eastAsia="en-US"/>
        </w:rPr>
        <w:t xml:space="preserve">evenue companies </w:t>
      </w:r>
      <w:r>
        <w:rPr>
          <w:rFonts w:eastAsia="Calibri"/>
          <w:lang w:val="en-US" w:eastAsia="en-US"/>
        </w:rPr>
        <w:t>are added as</w:t>
      </w:r>
      <w:r w:rsidRPr="00DC68D8">
        <w:rPr>
          <w:rFonts w:eastAsia="Calibri"/>
          <w:lang w:val="en-US" w:eastAsia="en-US"/>
        </w:rPr>
        <w:t xml:space="preserve"> final </w:t>
      </w:r>
      <w:r w:rsidRPr="00DC68D8">
        <w:rPr>
          <w:smallCaps/>
          <w:lang w:val="en-US"/>
        </w:rPr>
        <w:t xml:space="preserve">Index </w:t>
      </w:r>
      <w:r w:rsidRPr="00DC68D8">
        <w:rPr>
          <w:rFonts w:eastAsia="Calibri"/>
          <w:lang w:val="en-US" w:eastAsia="en-US"/>
        </w:rPr>
        <w:t>constituents</w:t>
      </w:r>
      <w:r>
        <w:rPr>
          <w:rFonts w:eastAsia="Calibri"/>
          <w:lang w:val="en-US" w:eastAsia="en-US"/>
        </w:rPr>
        <w:t>.</w:t>
      </w:r>
    </w:p>
    <w:p w14:paraId="1ED98EC3" w14:textId="77777777" w:rsidR="00706287" w:rsidRDefault="00706287" w:rsidP="00706287">
      <w:pPr>
        <w:pStyle w:val="ListParagraph"/>
        <w:numPr>
          <w:ilvl w:val="0"/>
          <w:numId w:val="25"/>
        </w:numPr>
        <w:rPr>
          <w:rFonts w:eastAsia="Calibri"/>
          <w:lang w:val="en-US" w:eastAsia="en-US"/>
        </w:rPr>
      </w:pPr>
      <w:r w:rsidRPr="00DC68D8">
        <w:rPr>
          <w:rFonts w:eastAsia="Calibri"/>
          <w:lang w:val="en-US" w:eastAsia="en-US"/>
        </w:rPr>
        <w:t xml:space="preserve">The 5 highest </w:t>
      </w:r>
      <w:r>
        <w:rPr>
          <w:rFonts w:eastAsia="Calibri"/>
          <w:lang w:val="en-US" w:eastAsia="en-US"/>
        </w:rPr>
        <w:t>D</w:t>
      </w:r>
      <w:r w:rsidRPr="00DC68D8">
        <w:rPr>
          <w:rFonts w:eastAsia="Calibri"/>
          <w:lang w:val="en-US" w:eastAsia="en-US"/>
        </w:rPr>
        <w:t xml:space="preserve">iversified companies are </w:t>
      </w:r>
      <w:r>
        <w:rPr>
          <w:rFonts w:eastAsia="Calibri"/>
          <w:lang w:val="en-US" w:eastAsia="en-US"/>
        </w:rPr>
        <w:t>added</w:t>
      </w:r>
      <w:r w:rsidRPr="00DC68D8">
        <w:rPr>
          <w:rFonts w:eastAsia="Calibri"/>
          <w:lang w:val="en-US" w:eastAsia="en-US"/>
        </w:rPr>
        <w:t xml:space="preserve"> as final </w:t>
      </w:r>
      <w:r w:rsidRPr="00DC68D8">
        <w:rPr>
          <w:smallCaps/>
          <w:lang w:val="en-US"/>
        </w:rPr>
        <w:t xml:space="preserve">Index </w:t>
      </w:r>
      <w:r w:rsidRPr="00DC68D8">
        <w:rPr>
          <w:rFonts w:eastAsia="Calibri"/>
          <w:lang w:val="en-US" w:eastAsia="en-US"/>
        </w:rPr>
        <w:t>constituents.</w:t>
      </w:r>
    </w:p>
    <w:p w14:paraId="1B469773" w14:textId="77777777" w:rsidR="00706287" w:rsidRDefault="00706287" w:rsidP="00706287">
      <w:pPr>
        <w:pStyle w:val="ListParagraph"/>
        <w:numPr>
          <w:ilvl w:val="0"/>
          <w:numId w:val="25"/>
        </w:numPr>
        <w:rPr>
          <w:rFonts w:eastAsia="Calibri"/>
          <w:lang w:val="en-US" w:eastAsia="en-US"/>
        </w:rPr>
      </w:pPr>
      <w:r>
        <w:rPr>
          <w:rFonts w:eastAsia="Calibri"/>
          <w:lang w:val="en-US" w:eastAsia="en-US"/>
        </w:rPr>
        <w:t xml:space="preserve">Current </w:t>
      </w:r>
      <w:r w:rsidRPr="00DC68D8">
        <w:rPr>
          <w:smallCaps/>
          <w:lang w:val="en-US"/>
        </w:rPr>
        <w:t xml:space="preserve">Index </w:t>
      </w:r>
      <w:r w:rsidRPr="00DC68D8">
        <w:rPr>
          <w:rFonts w:eastAsia="Calibri"/>
          <w:lang w:val="en-US" w:eastAsia="en-US"/>
        </w:rPr>
        <w:t>constituents</w:t>
      </w:r>
      <w:r>
        <w:rPr>
          <w:rFonts w:eastAsia="Calibri"/>
          <w:lang w:val="en-US" w:eastAsia="en-US"/>
        </w:rPr>
        <w:t xml:space="preserve"> that fulfill the following requirements are added as </w:t>
      </w:r>
      <w:r w:rsidRPr="00DC68D8">
        <w:rPr>
          <w:smallCaps/>
          <w:lang w:val="en-US"/>
        </w:rPr>
        <w:t xml:space="preserve">Index </w:t>
      </w:r>
      <w:r w:rsidRPr="00DC68D8">
        <w:rPr>
          <w:rFonts w:eastAsia="Calibri"/>
          <w:lang w:val="en-US" w:eastAsia="en-US"/>
        </w:rPr>
        <w:t>constituents</w:t>
      </w:r>
      <w:r>
        <w:rPr>
          <w:rFonts w:eastAsia="Calibri"/>
          <w:lang w:val="en-US" w:eastAsia="en-US"/>
        </w:rPr>
        <w:t xml:space="preserve"> by priority of their weight as of the </w:t>
      </w:r>
      <w:r w:rsidRPr="00744D4A">
        <w:rPr>
          <w:rFonts w:eastAsia="Calibri"/>
          <w:lang w:val="en-US" w:eastAsia="en-US"/>
        </w:rPr>
        <w:t>SELECTION DAY</w:t>
      </w:r>
      <w:r>
        <w:rPr>
          <w:rFonts w:eastAsia="Calibri"/>
          <w:lang w:val="en-US" w:eastAsia="en-US"/>
        </w:rPr>
        <w:t xml:space="preserve"> until there are a maximum of 50 </w:t>
      </w:r>
      <w:r w:rsidRPr="00DC68D8">
        <w:rPr>
          <w:smallCaps/>
          <w:lang w:val="en-US"/>
        </w:rPr>
        <w:t xml:space="preserve">Index </w:t>
      </w:r>
      <w:r w:rsidRPr="00DC68D8">
        <w:rPr>
          <w:rFonts w:eastAsia="Calibri"/>
          <w:lang w:val="en-US" w:eastAsia="en-US"/>
        </w:rPr>
        <w:t>constituents</w:t>
      </w:r>
      <w:r>
        <w:rPr>
          <w:rFonts w:eastAsia="Calibri"/>
          <w:lang w:val="en-US" w:eastAsia="en-US"/>
        </w:rPr>
        <w:t>:</w:t>
      </w:r>
    </w:p>
    <w:p w14:paraId="7E2CCAA0" w14:textId="77777777" w:rsidR="00706287" w:rsidRDefault="00706287" w:rsidP="00706287">
      <w:pPr>
        <w:pStyle w:val="ListParagraph"/>
        <w:numPr>
          <w:ilvl w:val="0"/>
          <w:numId w:val="26"/>
        </w:numPr>
        <w:rPr>
          <w:rFonts w:eastAsia="Calibri"/>
          <w:lang w:val="en-US" w:eastAsia="en-US"/>
        </w:rPr>
      </w:pPr>
      <w:r>
        <w:rPr>
          <w:rFonts w:eastAsia="Calibri"/>
          <w:lang w:val="en-US" w:eastAsia="en-US"/>
        </w:rPr>
        <w:t xml:space="preserve">The </w:t>
      </w:r>
      <w:r w:rsidRPr="004D7A0D">
        <w:rPr>
          <w:rFonts w:eastAsia="Calibri"/>
          <w:lang w:val="en-US" w:eastAsia="en-US"/>
        </w:rPr>
        <w:t>INDEX constituent</w:t>
      </w:r>
      <w:r>
        <w:rPr>
          <w:rFonts w:eastAsia="Calibri"/>
          <w:lang w:val="en-US" w:eastAsia="en-US"/>
        </w:rPr>
        <w:t xml:space="preserve"> has an </w:t>
      </w:r>
      <w:r w:rsidRPr="004D7A0D">
        <w:rPr>
          <w:rFonts w:eastAsia="Calibri"/>
          <w:lang w:val="en-US" w:eastAsia="en-US"/>
        </w:rPr>
        <w:t>INDEX Score</w:t>
      </w:r>
      <w:r>
        <w:rPr>
          <w:rFonts w:eastAsia="Calibri"/>
          <w:lang w:val="en-US" w:eastAsia="en-US"/>
        </w:rPr>
        <w:t>.</w:t>
      </w:r>
    </w:p>
    <w:p w14:paraId="176650A4" w14:textId="77777777" w:rsidR="00706287" w:rsidRDefault="00706287" w:rsidP="00706287">
      <w:pPr>
        <w:pStyle w:val="ListParagraph"/>
        <w:numPr>
          <w:ilvl w:val="0"/>
          <w:numId w:val="26"/>
        </w:numPr>
        <w:rPr>
          <w:rFonts w:eastAsia="Calibri"/>
          <w:lang w:val="en-US" w:eastAsia="en-US"/>
        </w:rPr>
      </w:pPr>
      <w:r w:rsidRPr="004D7A0D">
        <w:rPr>
          <w:rFonts w:eastAsia="Calibri"/>
          <w:lang w:val="en-US" w:eastAsia="en-US"/>
        </w:rPr>
        <w:t>The INDEX constituent</w:t>
      </w:r>
      <w:r>
        <w:rPr>
          <w:rFonts w:eastAsia="Calibri"/>
          <w:lang w:val="en-US" w:eastAsia="en-US"/>
        </w:rPr>
        <w:t xml:space="preserve"> satisfies the </w:t>
      </w:r>
      <w:r w:rsidRPr="004D7A0D">
        <w:rPr>
          <w:rFonts w:eastAsia="Calibri"/>
          <w:lang w:val="en-US" w:eastAsia="en-US"/>
        </w:rPr>
        <w:t>INDEX COMPONENT REQUIREMENTS</w:t>
      </w:r>
      <w:r>
        <w:rPr>
          <w:rFonts w:eastAsia="Calibri"/>
          <w:lang w:val="en-US" w:eastAsia="en-US"/>
        </w:rPr>
        <w:t>.</w:t>
      </w:r>
    </w:p>
    <w:p w14:paraId="4B306870" w14:textId="77777777" w:rsidR="00706287" w:rsidRPr="00B024B7" w:rsidRDefault="00706287" w:rsidP="00706287">
      <w:pPr>
        <w:pStyle w:val="ListParagraph"/>
        <w:numPr>
          <w:ilvl w:val="0"/>
          <w:numId w:val="26"/>
        </w:numPr>
        <w:rPr>
          <w:rFonts w:eastAsia="Calibri"/>
          <w:lang w:val="en-US" w:eastAsia="en-US"/>
        </w:rPr>
      </w:pPr>
      <w:r w:rsidRPr="00B024B7">
        <w:rPr>
          <w:rFonts w:eastAsia="Calibri"/>
          <w:lang w:val="en-US" w:eastAsia="en-US"/>
        </w:rPr>
        <w:t xml:space="preserve">If the total number of </w:t>
      </w:r>
      <w:r w:rsidRPr="00B024B7">
        <w:rPr>
          <w:smallCaps/>
          <w:lang w:val="en-US"/>
        </w:rPr>
        <w:t xml:space="preserve">Index </w:t>
      </w:r>
      <w:r w:rsidRPr="00B024B7">
        <w:rPr>
          <w:rFonts w:eastAsia="Calibri"/>
          <w:lang w:val="en-US" w:eastAsia="en-US"/>
        </w:rPr>
        <w:t xml:space="preserve">constituents is still below 50 after the previous steps, companies that satisfy the index universe requirements are added as </w:t>
      </w:r>
      <w:r w:rsidRPr="00B024B7">
        <w:rPr>
          <w:smallCaps/>
          <w:lang w:val="en-US"/>
        </w:rPr>
        <w:t xml:space="preserve">Index </w:t>
      </w:r>
      <w:r w:rsidRPr="00B024B7">
        <w:rPr>
          <w:rFonts w:eastAsia="Calibri"/>
          <w:lang w:val="en-US" w:eastAsia="en-US"/>
        </w:rPr>
        <w:t xml:space="preserve">constituents according to their INDEX Score, until there are a maximum of 50 </w:t>
      </w:r>
      <w:r w:rsidRPr="00B024B7">
        <w:rPr>
          <w:smallCaps/>
          <w:lang w:val="en-US"/>
        </w:rPr>
        <w:t xml:space="preserve">Index </w:t>
      </w:r>
      <w:r w:rsidRPr="00B024B7">
        <w:rPr>
          <w:rFonts w:eastAsia="Calibri"/>
          <w:lang w:val="en-US" w:eastAsia="en-US"/>
        </w:rPr>
        <w:t xml:space="preserve">constituents. Diversified INDEX constituents will be capped at 10 </w:t>
      </w:r>
      <w:r w:rsidRPr="00B024B7">
        <w:rPr>
          <w:smallCaps/>
          <w:lang w:val="en-US"/>
        </w:rPr>
        <w:t xml:space="preserve">Index </w:t>
      </w:r>
      <w:r w:rsidRPr="00B024B7">
        <w:rPr>
          <w:rFonts w:eastAsia="Calibri"/>
          <w:lang w:val="en-US" w:eastAsia="en-US"/>
        </w:rPr>
        <w:t>constituents.</w:t>
      </w:r>
    </w:p>
    <w:p w14:paraId="1B2367C2" w14:textId="77777777" w:rsidR="00706287" w:rsidRDefault="00706287" w:rsidP="00706287">
      <w:pPr>
        <w:rPr>
          <w:b/>
          <w:bCs/>
          <w:i/>
          <w:iCs/>
        </w:rPr>
      </w:pPr>
    </w:p>
    <w:p w14:paraId="38503380" w14:textId="77777777" w:rsidR="00706287" w:rsidRDefault="00706287" w:rsidP="00706287">
      <w:pPr>
        <w:rPr>
          <w:b/>
          <w:bCs/>
          <w:i/>
          <w:iCs/>
        </w:rPr>
      </w:pPr>
      <w:r>
        <w:rPr>
          <w:b/>
          <w:bCs/>
          <w:i/>
          <w:iCs/>
        </w:rPr>
        <w:t>From:</w:t>
      </w:r>
    </w:p>
    <w:p w14:paraId="77D48DEA" w14:textId="77777777" w:rsidR="00706287" w:rsidRPr="00E11B92" w:rsidRDefault="00706287" w:rsidP="00706287">
      <w:pPr>
        <w:pStyle w:val="ListParagraph"/>
        <w:numPr>
          <w:ilvl w:val="0"/>
          <w:numId w:val="27"/>
        </w:numPr>
        <w:ind w:left="321" w:hanging="283"/>
        <w:rPr>
          <w:b/>
          <w:bCs/>
          <w:i/>
          <w:iCs/>
        </w:rPr>
      </w:pPr>
      <w:r>
        <w:t xml:space="preserve">If there are two or more companies that share the last rank, then preference is given to the company with the highest average daily volume over the last 6 months. </w:t>
      </w:r>
    </w:p>
    <w:p w14:paraId="305530BC" w14:textId="77777777" w:rsidR="00706287" w:rsidRDefault="00706287" w:rsidP="00706287">
      <w:pPr>
        <w:ind w:left="38"/>
      </w:pPr>
      <w:r>
        <w:t xml:space="preserve">For any future selection the following buffer rules apply: </w:t>
      </w:r>
    </w:p>
    <w:p w14:paraId="4F3B7756" w14:textId="77777777" w:rsidR="00706287" w:rsidRPr="00E11B92" w:rsidRDefault="00706287" w:rsidP="00706287">
      <w:pPr>
        <w:pStyle w:val="ListParagraph"/>
        <w:numPr>
          <w:ilvl w:val="0"/>
          <w:numId w:val="28"/>
        </w:numPr>
        <w:ind w:left="747" w:hanging="284"/>
        <w:rPr>
          <w:b/>
          <w:bCs/>
          <w:i/>
          <w:iCs/>
        </w:rPr>
      </w:pPr>
      <w:r>
        <w:t xml:space="preserve"> A company that is currently in the INDEX is only excluded if it does not meet the index universe requirements, have a positive INDEX Score anymore, or generates less than 50% of its revenues from Genomics related business operations and/or is no longer classified as “Biotechnology”. </w:t>
      </w:r>
    </w:p>
    <w:p w14:paraId="375DEC51" w14:textId="77777777" w:rsidR="00706287" w:rsidRPr="00E11B92" w:rsidRDefault="00706287" w:rsidP="00706287">
      <w:pPr>
        <w:pStyle w:val="ListParagraph"/>
        <w:numPr>
          <w:ilvl w:val="0"/>
          <w:numId w:val="28"/>
        </w:numPr>
        <w:ind w:left="747" w:hanging="284"/>
        <w:rPr>
          <w:b/>
          <w:bCs/>
          <w:i/>
          <w:iCs/>
        </w:rPr>
      </w:pPr>
      <w:r>
        <w:t>If there are 40 constituents as of the selection day, a new company is only added if its INDEX Score ranks 10th or higher and derives at least 50% of its revenue from Genomics and/or is classified as “Biotechnology” and passes the additional analysis. In this case, the last ranking company of the current selection is removed</w:t>
      </w:r>
    </w:p>
    <w:p w14:paraId="293FC39B" w14:textId="77777777" w:rsidR="00706287" w:rsidRPr="00E11B92" w:rsidRDefault="00706287" w:rsidP="00706287">
      <w:pPr>
        <w:rPr>
          <w:b/>
          <w:bCs/>
          <w:i/>
          <w:iCs/>
        </w:rPr>
      </w:pPr>
      <w:r w:rsidRPr="00E11B92">
        <w:rPr>
          <w:b/>
          <w:bCs/>
          <w:i/>
          <w:iCs/>
        </w:rPr>
        <w:t>To:</w:t>
      </w:r>
    </w:p>
    <w:p w14:paraId="0E3FE588" w14:textId="117D1C4F" w:rsidR="00706287" w:rsidRPr="00E11B92" w:rsidRDefault="00706287" w:rsidP="00706287">
      <w:pPr>
        <w:pStyle w:val="ListParagraph"/>
        <w:numPr>
          <w:ilvl w:val="0"/>
          <w:numId w:val="29"/>
        </w:numPr>
        <w:ind w:left="321" w:hanging="283"/>
        <w:rPr>
          <w:b/>
          <w:bCs/>
          <w:i/>
          <w:iCs/>
        </w:rPr>
      </w:pPr>
      <w:r>
        <w:t xml:space="preserve">If there are two or more companies that share the last rank, then preference is given to the company with the highest </w:t>
      </w:r>
      <w:r w:rsidR="00590EBF">
        <w:t>market capitalization</w:t>
      </w:r>
      <w:r>
        <w:t xml:space="preserve">. </w:t>
      </w:r>
    </w:p>
    <w:p w14:paraId="44554C2D" w14:textId="77777777" w:rsidR="00706287" w:rsidRDefault="00706287" w:rsidP="00706287">
      <w:pPr>
        <w:rPr>
          <w:b/>
          <w:bCs/>
          <w:i/>
          <w:iCs/>
        </w:rPr>
      </w:pPr>
    </w:p>
    <w:p w14:paraId="175835EA" w14:textId="77777777" w:rsidR="00706287" w:rsidRPr="00E11B92" w:rsidRDefault="00706287" w:rsidP="00706287">
      <w:pPr>
        <w:pStyle w:val="Heading2"/>
        <w:rPr>
          <w:lang w:val="en-US" w:eastAsia="en-US"/>
        </w:rPr>
      </w:pPr>
      <w:r w:rsidRPr="00E11B92">
        <w:rPr>
          <w:lang w:val="en-US" w:eastAsia="en-US"/>
        </w:rPr>
        <w:lastRenderedPageBreak/>
        <w:t>2.3. WEIGHTING OF THE INDEX COMPONENTS</w:t>
      </w:r>
    </w:p>
    <w:p w14:paraId="2E190423" w14:textId="77777777" w:rsidR="00706287" w:rsidRDefault="00706287" w:rsidP="00706287">
      <w:pPr>
        <w:rPr>
          <w:rFonts w:eastAsia="Calibri"/>
          <w:lang w:val="en-US" w:eastAsia="en-US"/>
        </w:rPr>
      </w:pPr>
    </w:p>
    <w:p w14:paraId="10C07A0D" w14:textId="77777777" w:rsidR="00706287" w:rsidRDefault="00706287" w:rsidP="00706287">
      <w:pPr>
        <w:rPr>
          <w:b/>
          <w:bCs/>
          <w:i/>
          <w:iCs/>
        </w:rPr>
      </w:pPr>
      <w:r>
        <w:rPr>
          <w:b/>
          <w:bCs/>
          <w:i/>
          <w:iCs/>
        </w:rPr>
        <w:t>From:</w:t>
      </w:r>
    </w:p>
    <w:p w14:paraId="4316F534" w14:textId="77777777" w:rsidR="00706287" w:rsidRDefault="00706287" w:rsidP="00706287">
      <w:r>
        <w:t xml:space="preserve">Each INDEX COMPONENT of the Solactive Genomics INDEX is weighted according to Free Float Market Capitalization subject to the following constraints: </w:t>
      </w:r>
    </w:p>
    <w:p w14:paraId="62C9935F" w14:textId="77777777" w:rsidR="00706287" w:rsidRPr="00E11B92" w:rsidRDefault="00706287" w:rsidP="00706287">
      <w:pPr>
        <w:pStyle w:val="ListParagraph"/>
        <w:numPr>
          <w:ilvl w:val="0"/>
          <w:numId w:val="30"/>
        </w:numPr>
        <w:rPr>
          <w:b/>
          <w:bCs/>
          <w:i/>
          <w:iCs/>
        </w:rPr>
      </w:pPr>
      <w:r>
        <w:t xml:space="preserve">The maximum weight of a company is 4.0%. </w:t>
      </w:r>
    </w:p>
    <w:p w14:paraId="6A27884A" w14:textId="77777777" w:rsidR="00706287" w:rsidRPr="00E11B92" w:rsidRDefault="00706287" w:rsidP="00706287">
      <w:pPr>
        <w:pStyle w:val="ListParagraph"/>
        <w:numPr>
          <w:ilvl w:val="0"/>
          <w:numId w:val="30"/>
        </w:numPr>
        <w:rPr>
          <w:b/>
          <w:bCs/>
          <w:i/>
          <w:iCs/>
        </w:rPr>
      </w:pPr>
      <w:r>
        <w:t xml:space="preserve">The maximum weight of a company that has a Market Capitalization larger than USD 50 bn is 2.0%. </w:t>
      </w:r>
    </w:p>
    <w:p w14:paraId="09A4647D" w14:textId="77777777" w:rsidR="00706287" w:rsidRPr="00E11B92" w:rsidRDefault="00706287" w:rsidP="00706287">
      <w:pPr>
        <w:pStyle w:val="ListParagraph"/>
        <w:numPr>
          <w:ilvl w:val="0"/>
          <w:numId w:val="30"/>
        </w:numPr>
        <w:rPr>
          <w:b/>
          <w:bCs/>
          <w:i/>
          <w:iCs/>
        </w:rPr>
      </w:pPr>
      <w:r>
        <w:t xml:space="preserve">The minimum weight of a company is 0.3%. </w:t>
      </w:r>
    </w:p>
    <w:p w14:paraId="02AFCE94" w14:textId="77777777" w:rsidR="00706287" w:rsidRPr="00E11B92" w:rsidRDefault="00706287" w:rsidP="00706287">
      <w:pPr>
        <w:pStyle w:val="ListParagraph"/>
        <w:numPr>
          <w:ilvl w:val="0"/>
          <w:numId w:val="30"/>
        </w:numPr>
        <w:rPr>
          <w:b/>
          <w:bCs/>
          <w:i/>
          <w:iCs/>
        </w:rPr>
      </w:pPr>
      <w:r>
        <w:t xml:space="preserve">If a company was subject to the constraint b) on the previous Selection Day and its Market Capitalization is not below USD 40 bn on the current Selection Day, then the maximum weight of the company is 2.0%. The excess weight that results from implementing these constraints is redistributed proportionally such that none of the above constraints are breached. </w:t>
      </w:r>
    </w:p>
    <w:p w14:paraId="2D94BBF7" w14:textId="77777777" w:rsidR="00706287" w:rsidRPr="00E11B92" w:rsidRDefault="00706287" w:rsidP="00706287">
      <w:pPr>
        <w:rPr>
          <w:b/>
          <w:bCs/>
          <w:i/>
          <w:iCs/>
        </w:rPr>
      </w:pPr>
      <w:r w:rsidRPr="00E11B92">
        <w:rPr>
          <w:b/>
          <w:bCs/>
          <w:i/>
          <w:iCs/>
        </w:rPr>
        <w:t>To:</w:t>
      </w:r>
    </w:p>
    <w:p w14:paraId="3DFBAF0D" w14:textId="77777777" w:rsidR="00706287" w:rsidRDefault="00706287" w:rsidP="00706287">
      <w:pPr>
        <w:rPr>
          <w:lang w:val="en-US"/>
        </w:rPr>
      </w:pPr>
      <w:r w:rsidRPr="00100FE8">
        <w:rPr>
          <w:lang w:val="en-US" w:eastAsia="en-US"/>
        </w:rPr>
        <w:t xml:space="preserve">Each </w:t>
      </w:r>
      <w:r w:rsidRPr="00100FE8">
        <w:rPr>
          <w:smallCaps/>
          <w:lang w:val="en-US" w:eastAsia="en-US"/>
        </w:rPr>
        <w:t>Index Component</w:t>
      </w:r>
      <w:r w:rsidRPr="00100FE8">
        <w:rPr>
          <w:lang w:val="en-US" w:eastAsia="en-US"/>
        </w:rPr>
        <w:t xml:space="preserve"> of the </w:t>
      </w:r>
      <w:r w:rsidRPr="00100FE8">
        <w:rPr>
          <w:lang w:val="en-US"/>
        </w:rPr>
        <w:t>Solactive</w:t>
      </w:r>
      <w:r>
        <w:rPr>
          <w:lang w:val="en-US"/>
        </w:rPr>
        <w:t xml:space="preserve"> Genomics </w:t>
      </w:r>
      <w:r w:rsidRPr="001E74E0">
        <w:rPr>
          <w:smallCaps/>
          <w:lang w:val="en-US"/>
        </w:rPr>
        <w:t xml:space="preserve">Index </w:t>
      </w:r>
      <w:r>
        <w:rPr>
          <w:lang w:val="en-US"/>
        </w:rPr>
        <w:t>is</w:t>
      </w:r>
      <w:r w:rsidRPr="00B7210E">
        <w:rPr>
          <w:lang w:val="en-US"/>
        </w:rPr>
        <w:t xml:space="preserve"> weighted according to Free Float Market Capitalization subject to the following constraints:</w:t>
      </w:r>
    </w:p>
    <w:p w14:paraId="7B7758AA" w14:textId="77777777" w:rsidR="00706287" w:rsidRDefault="00706287" w:rsidP="00706287">
      <w:pPr>
        <w:pStyle w:val="ListParagraph"/>
        <w:numPr>
          <w:ilvl w:val="0"/>
          <w:numId w:val="31"/>
        </w:numPr>
        <w:rPr>
          <w:lang w:val="en-US"/>
        </w:rPr>
      </w:pPr>
      <w:r w:rsidRPr="00FC480E">
        <w:rPr>
          <w:lang w:val="en-US"/>
        </w:rPr>
        <w:t xml:space="preserve">The maximum weight of a company is </w:t>
      </w:r>
      <w:r>
        <w:rPr>
          <w:lang w:val="en-US"/>
        </w:rPr>
        <w:t>4.0%</w:t>
      </w:r>
      <w:r w:rsidRPr="00FC480E">
        <w:rPr>
          <w:lang w:val="en-US"/>
        </w:rPr>
        <w:t>.</w:t>
      </w:r>
    </w:p>
    <w:p w14:paraId="2C9174E2" w14:textId="77777777" w:rsidR="00706287" w:rsidRPr="00277664" w:rsidRDefault="00706287" w:rsidP="00706287">
      <w:pPr>
        <w:pStyle w:val="ListParagraph"/>
        <w:numPr>
          <w:ilvl w:val="0"/>
          <w:numId w:val="31"/>
        </w:numPr>
        <w:rPr>
          <w:lang w:val="en-US"/>
        </w:rPr>
      </w:pPr>
      <w:r w:rsidRPr="00277664">
        <w:rPr>
          <w:lang w:val="en-US"/>
        </w:rPr>
        <w:t>The aggregate weight of Diversified companies cannot exceed 1</w:t>
      </w:r>
      <w:r>
        <w:rPr>
          <w:lang w:val="en-US"/>
        </w:rPr>
        <w:t>0</w:t>
      </w:r>
      <w:r w:rsidRPr="00277664">
        <w:rPr>
          <w:lang w:val="en-US"/>
        </w:rPr>
        <w:t>% of the index</w:t>
      </w:r>
      <w:r>
        <w:rPr>
          <w:lang w:val="en-US"/>
        </w:rPr>
        <w:t xml:space="preserve"> </w:t>
      </w:r>
      <w:r w:rsidRPr="00277664">
        <w:rPr>
          <w:lang w:val="en-US"/>
        </w:rPr>
        <w:t xml:space="preserve">weight, and the maximum weight of a Diversified company is </w:t>
      </w:r>
      <w:r>
        <w:rPr>
          <w:lang w:val="en-US"/>
        </w:rPr>
        <w:t>2</w:t>
      </w:r>
      <w:r w:rsidRPr="00277664">
        <w:rPr>
          <w:lang w:val="en-US"/>
        </w:rPr>
        <w:t>%</w:t>
      </w:r>
      <w:r>
        <w:rPr>
          <w:lang w:val="en-US"/>
        </w:rPr>
        <w:t>.</w:t>
      </w:r>
    </w:p>
    <w:p w14:paraId="633DD725" w14:textId="77777777" w:rsidR="00706287" w:rsidRDefault="00706287" w:rsidP="00706287">
      <w:pPr>
        <w:rPr>
          <w:lang w:val="en-US"/>
        </w:rPr>
      </w:pPr>
      <w:r w:rsidRPr="00B7210E">
        <w:rPr>
          <w:lang w:val="en-US"/>
        </w:rPr>
        <w:t>The excess weight that results from implementing these constraints is redistributed proportionally such that none of the above constraints are breached.</w:t>
      </w:r>
    </w:p>
    <w:bookmarkEnd w:id="2"/>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7391772D" w:rsidR="005055F5" w:rsidRPr="00C04273" w:rsidRDefault="005055F5" w:rsidP="005055F5">
      <w:pPr>
        <w:spacing w:before="60" w:line="360" w:lineRule="auto"/>
        <w:rPr>
          <w:lang w:val="en-US"/>
        </w:rPr>
      </w:pPr>
      <w:r w:rsidRPr="00C04273">
        <w:rPr>
          <w:lang w:val="en-US"/>
        </w:rPr>
        <w:lastRenderedPageBreak/>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706287">
        <w:rPr>
          <w:lang w:val="en-US"/>
        </w:rPr>
        <w:t>Solactive Genomics Index</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09534D"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0E845C37" w:rsidR="005055F5"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590EBF">
        <w:rPr>
          <w:lang w:val="en-US"/>
        </w:rPr>
        <w:t xml:space="preserve"> 2025-02-20.</w:t>
      </w:r>
    </w:p>
    <w:p w14:paraId="741A56A5" w14:textId="29B02B96" w:rsidR="00651886" w:rsidRPr="00C04273" w:rsidRDefault="00651886" w:rsidP="00651886">
      <w:pPr>
        <w:spacing w:before="0" w:after="0" w:line="360" w:lineRule="auto"/>
        <w:rPr>
          <w:lang w:val="en-US"/>
        </w:rPr>
      </w:pPr>
      <w:r>
        <w:t>[</w:t>
      </w:r>
      <w:r w:rsidRPr="00FE1081">
        <w:rPr>
          <w:lang w:val="en-US"/>
        </w:rPr>
        <w:t xml:space="preserve">Subject to feedback received on this Market Consultation, the changes mentioned </w:t>
      </w:r>
      <w:r>
        <w:t xml:space="preserve">above are intended to </w:t>
      </w:r>
      <w:r w:rsidRPr="00FE1081">
        <w:rPr>
          <w:lang w:val="en-US"/>
        </w:rPr>
        <w:t xml:space="preserve">become effective on </w:t>
      </w:r>
      <w:r w:rsidR="0025748D">
        <w:rPr>
          <w:i/>
          <w:iCs/>
        </w:rPr>
        <w:t>2025-03-07</w:t>
      </w:r>
      <w:r w:rsidR="004819FA">
        <w:t>.</w:t>
      </w:r>
    </w:p>
    <w:p w14:paraId="0D223365" w14:textId="77777777" w:rsidR="00651886" w:rsidRPr="00C04273" w:rsidRDefault="00651886" w:rsidP="005055F5">
      <w:pPr>
        <w:spacing w:before="0" w:after="0" w:line="360" w:lineRule="auto"/>
        <w:rPr>
          <w:lang w:val="en-US"/>
        </w:rPr>
      </w:pPr>
    </w:p>
    <w:p w14:paraId="04131284" w14:textId="00087E86"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r w:rsidR="00706287">
        <w:rPr>
          <w:lang w:val="en-US"/>
        </w:rPr>
        <w:t>| Solactive Genomics Index</w:t>
      </w:r>
      <w:r w:rsidR="0026131F">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5D6531D2" w14:textId="60EA8649" w:rsidR="00590EBF" w:rsidRDefault="003D0D25" w:rsidP="003D0D25">
      <w:pPr>
        <w:spacing w:after="0"/>
        <w:ind w:left="1416" w:firstLine="708"/>
      </w:pPr>
      <w:r>
        <w:t>Germany</w:t>
      </w:r>
    </w:p>
    <w:p w14:paraId="6605CF27" w14:textId="77777777" w:rsidR="00753C1C" w:rsidRDefault="00753C1C" w:rsidP="00590EBF">
      <w:pPr>
        <w:spacing w:after="0"/>
        <w:rPr>
          <w:lang w:val="en-US"/>
        </w:rPr>
      </w:pPr>
      <w:r w:rsidRPr="00C04273">
        <w:rPr>
          <w:lang w:val="en-US"/>
        </w:rPr>
        <w:lastRenderedPageBreak/>
        <w:t>Should you have any additional questions regarding the consultative question in particular, please do not hesitate to contact us via above email address.</w:t>
      </w:r>
    </w:p>
    <w:p w14:paraId="26BA4D20" w14:textId="77777777" w:rsidR="00590EBF" w:rsidRDefault="00590EBF" w:rsidP="00590EBF">
      <w:pPr>
        <w:spacing w:after="0"/>
        <w:rPr>
          <w:lang w:val="en-US"/>
        </w:rPr>
      </w:pPr>
    </w:p>
    <w:p w14:paraId="47983BD3" w14:textId="77777777" w:rsidR="00590EBF" w:rsidRDefault="00590EBF" w:rsidP="00590EBF">
      <w:pPr>
        <w:spacing w:after="0"/>
        <w:rPr>
          <w:lang w:val="en-US"/>
        </w:rPr>
      </w:pPr>
    </w:p>
    <w:p w14:paraId="667F9879" w14:textId="77777777" w:rsidR="00590EBF" w:rsidRDefault="00590EBF" w:rsidP="00590EBF">
      <w:pPr>
        <w:spacing w:after="0"/>
        <w:rPr>
          <w:lang w:val="en-US"/>
        </w:rPr>
      </w:pPr>
    </w:p>
    <w:p w14:paraId="0034008D" w14:textId="13CCFDF4" w:rsidR="00753C1C" w:rsidRPr="00C04273" w:rsidRDefault="00753C1C" w:rsidP="003D0D25">
      <w:pPr>
        <w:spacing w:after="0"/>
        <w:ind w:left="1416" w:firstLine="708"/>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112" w:name="_Toc526233456"/>
                      <w:r w:rsidRPr="008A06B6">
                        <w:rPr>
                          <w:color w:val="FFFFFF" w:themeColor="background1"/>
                          <w:sz w:val="60"/>
                          <w:szCs w:val="60"/>
                          <w:lang w:val="en-US" w:eastAsia="en-US"/>
                        </w:rPr>
                        <w:t>Contact</w:t>
                      </w:r>
                      <w:bookmarkEnd w:id="11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8"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9"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20"/>
      <w:headerReference w:type="default" r:id="rId21"/>
      <w:footerReference w:type="even" r:id="rId22"/>
      <w:footerReference w:type="default" r:id="rId23"/>
      <w:headerReference w:type="first" r:id="rId24"/>
      <w:footerReference w:type="first" r:id="rId25"/>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panose1 w:val="02000000000000000000"/>
    <w:charset w:val="00"/>
    <w:family w:val="auto"/>
    <w:pitch w:val="variable"/>
    <w:sig w:usb0="A00000AF" w:usb1="4000207B" w:usb2="00000000" w:usb3="00000000" w:csb0="0000008B" w:csb1="00000000"/>
    <w:embedRegular r:id="rId1" w:fontKey="{C816716D-30CE-495D-814B-2ACD15FEB08D}"/>
    <w:embedBold r:id="rId2" w:fontKey="{C0424EFA-874F-47F3-9FFB-584A0B449F14}"/>
    <w:embedItalic r:id="rId3" w:fontKey="{B2322CFA-9BB8-47DA-A57C-6717383D3067}"/>
    <w:embedBoldItalic r:id="rId4" w:fontKey="{F8C8BBA9-F58B-4709-90C2-3FD3C105A301}"/>
  </w:font>
  <w:font w:name="Calibri">
    <w:panose1 w:val="020F0502020204030204"/>
    <w:charset w:val="00"/>
    <w:family w:val="swiss"/>
    <w:pitch w:val="variable"/>
    <w:sig w:usb0="E4002EFF" w:usb1="C200247B" w:usb2="00000009" w:usb3="00000000" w:csb0="000001FF" w:csb1="00000000"/>
    <w:embedRegular r:id="rId5" w:fontKey="{AD5E16DF-AD7A-446D-92E4-B38CDFBC424B}"/>
  </w:font>
  <w:font w:name="Segoe UI">
    <w:panose1 w:val="020B0502040204020203"/>
    <w:charset w:val="00"/>
    <w:family w:val="swiss"/>
    <w:pitch w:val="variable"/>
    <w:sig w:usb0="E4002EFF" w:usb1="C000E47F" w:usb2="00000009" w:usb3="00000000" w:csb0="000001FF" w:csb1="00000000"/>
    <w:embedRegular r:id="rId6" w:fontKey="{1F4C42BA-8CCE-494A-8B1B-5E1A5421EFE8}"/>
  </w:font>
  <w:font w:name="Flama Semicondensed Medium">
    <w:panose1 w:val="02000000000000000000"/>
    <w:charset w:val="00"/>
    <w:family w:val="auto"/>
    <w:pitch w:val="variable"/>
    <w:sig w:usb0="A00000AF" w:usb1="4000207B" w:usb2="00000000" w:usb3="00000000" w:csb0="0000008B" w:csb1="00000000"/>
    <w:embedRegular r:id="rId7" w:fontKey="{2B1DC0C0-F351-4B00-9114-AA1472A877D8}"/>
    <w:embedBold r:id="rId8" w:fontKey="{BCE2A012-3CD1-448A-9837-F5D7AC79C76C}"/>
  </w:font>
  <w:font w:name="Calibri Light">
    <w:panose1 w:val="020F0302020204030204"/>
    <w:charset w:val="00"/>
    <w:family w:val="swiss"/>
    <w:pitch w:val="variable"/>
    <w:sig w:usb0="E4002EFF" w:usb1="C200247B" w:usb2="00000009" w:usb3="00000000" w:csb0="000001FF" w:csb1="00000000"/>
    <w:embedRegular r:id="rId9" w:fontKey="{3BD0F0E1-7E58-4471-AAAB-7D07E25870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E5D9C" w14:textId="2BD9B718"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590EBF">
          <w:rPr>
            <w:lang w:val="en-US"/>
          </w:rPr>
          <w:t>Market Consultation | Solactive Genomics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5.9pt;height:19.9pt" o:bullet="t">
        <v:imagedata r:id="rId1" o:title="S_Icons-Haken_02"/>
      </v:shape>
    </w:pict>
  </w:numPicBullet>
  <w:numPicBullet w:numPicBulletId="1">
    <w:pict>
      <v:shape w14:anchorId="4360039E" id="_x0000_i1051" type="#_x0000_t75" style="width:19.9pt;height:19.9pt" o:bullet="t">
        <v:imagedata r:id="rId2" o:title="S_Icons-Pfeil_02"/>
      </v:shape>
    </w:pict>
  </w:numPicBullet>
  <w:numPicBullet w:numPicBulletId="2">
    <w:pict>
      <v:shape id="_x0000_i1052" type="#_x0000_t75" style="width:15.35pt;height:15.85pt" o:bullet="t">
        <v:imagedata r:id="rId3" o:title="Bullet_2_Indices_Small"/>
      </v:shape>
    </w:pict>
  </w:numPicBullet>
  <w:numPicBullet w:numPicBulletId="3">
    <w:pict>
      <v:shape id="_x0000_i1053"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D61060E"/>
    <w:multiLevelType w:val="hybridMultilevel"/>
    <w:tmpl w:val="2F622AFA"/>
    <w:lvl w:ilvl="0" w:tplc="3244CA80">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5DF0E9E"/>
    <w:multiLevelType w:val="hybridMultilevel"/>
    <w:tmpl w:val="88D602E8"/>
    <w:lvl w:ilvl="0" w:tplc="FFFFFFFF">
      <w:start w:val="4"/>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F18772B"/>
    <w:multiLevelType w:val="hybridMultilevel"/>
    <w:tmpl w:val="0C1AACC0"/>
    <w:lvl w:ilvl="0" w:tplc="29421F38">
      <w:start w:val="1"/>
      <w:numFmt w:val="lowerRoman"/>
      <w:lvlText w:val="%1)"/>
      <w:lvlJc w:val="left"/>
      <w:pPr>
        <w:ind w:left="1800" w:hanging="72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9" w15:restartNumberingAfterBreak="0">
    <w:nsid w:val="309D31A5"/>
    <w:multiLevelType w:val="hybridMultilevel"/>
    <w:tmpl w:val="D3921EFE"/>
    <w:lvl w:ilvl="0" w:tplc="587ABFD2">
      <w:start w:val="1"/>
      <w:numFmt w:val="decimal"/>
      <w:lvlText w:val="%1)"/>
      <w:lvlJc w:val="left"/>
      <w:pPr>
        <w:ind w:left="720" w:hanging="360"/>
      </w:pPr>
      <w:rPr>
        <w:rFonts w:ascii="Flama Semicondensed Light" w:eastAsia="Times New Roman" w:hAnsi="Flama Semicondensed Light"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546A24EC"/>
    <w:multiLevelType w:val="hybridMultilevel"/>
    <w:tmpl w:val="8E74861E"/>
    <w:lvl w:ilvl="0" w:tplc="FFFFFFFF">
      <w:start w:val="5"/>
      <w:numFmt w:val="decimal"/>
      <w:lvlText w:val="%1)"/>
      <w:lvlJc w:val="left"/>
      <w:pPr>
        <w:ind w:left="144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0642EA"/>
    <w:multiLevelType w:val="hybridMultilevel"/>
    <w:tmpl w:val="88D602E8"/>
    <w:lvl w:ilvl="0" w:tplc="E27C6206">
      <w:start w:val="4"/>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03F5EEB"/>
    <w:multiLevelType w:val="hybridMultilevel"/>
    <w:tmpl w:val="E41CC45E"/>
    <w:lvl w:ilvl="0" w:tplc="8EACC9B0">
      <w:start w:val="1"/>
      <w:numFmt w:val="decimal"/>
      <w:lvlText w:val="%1)"/>
      <w:lvlJc w:val="left"/>
      <w:pPr>
        <w:ind w:left="72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4070B16"/>
    <w:multiLevelType w:val="hybridMultilevel"/>
    <w:tmpl w:val="3308468E"/>
    <w:lvl w:ilvl="0" w:tplc="B3F2ED74">
      <w:start w:val="1"/>
      <w:numFmt w:val="upperLetter"/>
      <w:lvlText w:val="%1)"/>
      <w:lvlJc w:val="left"/>
      <w:pPr>
        <w:ind w:left="398" w:hanging="360"/>
      </w:pPr>
      <w:rPr>
        <w:rFonts w:hint="default"/>
        <w:b w:val="0"/>
        <w:i w:val="0"/>
      </w:rPr>
    </w:lvl>
    <w:lvl w:ilvl="1" w:tplc="10090019" w:tentative="1">
      <w:start w:val="1"/>
      <w:numFmt w:val="lowerLetter"/>
      <w:lvlText w:val="%2."/>
      <w:lvlJc w:val="left"/>
      <w:pPr>
        <w:ind w:left="1118" w:hanging="360"/>
      </w:pPr>
    </w:lvl>
    <w:lvl w:ilvl="2" w:tplc="1009001B" w:tentative="1">
      <w:start w:val="1"/>
      <w:numFmt w:val="lowerRoman"/>
      <w:lvlText w:val="%3."/>
      <w:lvlJc w:val="right"/>
      <w:pPr>
        <w:ind w:left="1838" w:hanging="180"/>
      </w:pPr>
    </w:lvl>
    <w:lvl w:ilvl="3" w:tplc="1009000F" w:tentative="1">
      <w:start w:val="1"/>
      <w:numFmt w:val="decimal"/>
      <w:lvlText w:val="%4."/>
      <w:lvlJc w:val="left"/>
      <w:pPr>
        <w:ind w:left="2558" w:hanging="360"/>
      </w:pPr>
    </w:lvl>
    <w:lvl w:ilvl="4" w:tplc="10090019" w:tentative="1">
      <w:start w:val="1"/>
      <w:numFmt w:val="lowerLetter"/>
      <w:lvlText w:val="%5."/>
      <w:lvlJc w:val="left"/>
      <w:pPr>
        <w:ind w:left="3278" w:hanging="360"/>
      </w:pPr>
    </w:lvl>
    <w:lvl w:ilvl="5" w:tplc="1009001B" w:tentative="1">
      <w:start w:val="1"/>
      <w:numFmt w:val="lowerRoman"/>
      <w:lvlText w:val="%6."/>
      <w:lvlJc w:val="right"/>
      <w:pPr>
        <w:ind w:left="3998" w:hanging="180"/>
      </w:pPr>
    </w:lvl>
    <w:lvl w:ilvl="6" w:tplc="1009000F" w:tentative="1">
      <w:start w:val="1"/>
      <w:numFmt w:val="decimal"/>
      <w:lvlText w:val="%7."/>
      <w:lvlJc w:val="left"/>
      <w:pPr>
        <w:ind w:left="4718" w:hanging="360"/>
      </w:pPr>
    </w:lvl>
    <w:lvl w:ilvl="7" w:tplc="10090019" w:tentative="1">
      <w:start w:val="1"/>
      <w:numFmt w:val="lowerLetter"/>
      <w:lvlText w:val="%8."/>
      <w:lvlJc w:val="left"/>
      <w:pPr>
        <w:ind w:left="5438" w:hanging="360"/>
      </w:pPr>
    </w:lvl>
    <w:lvl w:ilvl="8" w:tplc="1009001B" w:tentative="1">
      <w:start w:val="1"/>
      <w:numFmt w:val="lowerRoman"/>
      <w:lvlText w:val="%9."/>
      <w:lvlJc w:val="right"/>
      <w:pPr>
        <w:ind w:left="6158" w:hanging="180"/>
      </w:pPr>
    </w:lvl>
  </w:abstractNum>
  <w:abstractNum w:abstractNumId="25"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6"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023C30"/>
    <w:multiLevelType w:val="hybridMultilevel"/>
    <w:tmpl w:val="8E74861E"/>
    <w:lvl w:ilvl="0" w:tplc="195AE8D8">
      <w:start w:val="5"/>
      <w:numFmt w:val="decimal"/>
      <w:lvlText w:val="%1)"/>
      <w:lvlJc w:val="left"/>
      <w:pPr>
        <w:ind w:left="1440" w:hanging="360"/>
      </w:pPr>
      <w:rPr>
        <w:rFonts w:hint="default"/>
        <w:b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7FF0771A"/>
    <w:multiLevelType w:val="hybridMultilevel"/>
    <w:tmpl w:val="BCF6DD76"/>
    <w:lvl w:ilvl="0" w:tplc="606C73A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16cid:durableId="1512641640">
    <w:abstractNumId w:val="6"/>
  </w:num>
  <w:num w:numId="2" w16cid:durableId="2021732985">
    <w:abstractNumId w:val="10"/>
  </w:num>
  <w:num w:numId="3" w16cid:durableId="1792439210">
    <w:abstractNumId w:val="21"/>
  </w:num>
  <w:num w:numId="4" w16cid:durableId="1222715176">
    <w:abstractNumId w:val="27"/>
  </w:num>
  <w:num w:numId="5" w16cid:durableId="1811897578">
    <w:abstractNumId w:val="19"/>
  </w:num>
  <w:num w:numId="6" w16cid:durableId="1436293547">
    <w:abstractNumId w:val="11"/>
  </w:num>
  <w:num w:numId="7" w16cid:durableId="1419591749">
    <w:abstractNumId w:val="26"/>
  </w:num>
  <w:num w:numId="8" w16cid:durableId="300116790">
    <w:abstractNumId w:val="3"/>
  </w:num>
  <w:num w:numId="9" w16cid:durableId="584608329">
    <w:abstractNumId w:val="16"/>
  </w:num>
  <w:num w:numId="10" w16cid:durableId="2040230148">
    <w:abstractNumId w:val="15"/>
  </w:num>
  <w:num w:numId="11" w16cid:durableId="1190528287">
    <w:abstractNumId w:val="2"/>
  </w:num>
  <w:num w:numId="12" w16cid:durableId="273831685">
    <w:abstractNumId w:val="1"/>
  </w:num>
  <w:num w:numId="13" w16cid:durableId="27948669">
    <w:abstractNumId w:val="17"/>
  </w:num>
  <w:num w:numId="14" w16cid:durableId="87695134">
    <w:abstractNumId w:val="13"/>
  </w:num>
  <w:num w:numId="15" w16cid:durableId="176314589">
    <w:abstractNumId w:val="5"/>
  </w:num>
  <w:num w:numId="16" w16cid:durableId="1047140650">
    <w:abstractNumId w:val="14"/>
  </w:num>
  <w:num w:numId="17" w16cid:durableId="199633076">
    <w:abstractNumId w:val="28"/>
  </w:num>
  <w:num w:numId="18" w16cid:durableId="1554846488">
    <w:abstractNumId w:val="12"/>
  </w:num>
  <w:num w:numId="19" w16cid:durableId="2122260762">
    <w:abstractNumId w:val="22"/>
  </w:num>
  <w:num w:numId="20" w16cid:durableId="1695378051">
    <w:abstractNumId w:val="25"/>
  </w:num>
  <w:num w:numId="21" w16cid:durableId="680737233">
    <w:abstractNumId w:val="0"/>
  </w:num>
  <w:num w:numId="22" w16cid:durableId="252931550">
    <w:abstractNumId w:val="30"/>
  </w:num>
  <w:num w:numId="23" w16cid:durableId="1827741666">
    <w:abstractNumId w:val="20"/>
  </w:num>
  <w:num w:numId="24" w16cid:durableId="1827821495">
    <w:abstractNumId w:val="7"/>
  </w:num>
  <w:num w:numId="25" w16cid:durableId="1985546917">
    <w:abstractNumId w:val="4"/>
  </w:num>
  <w:num w:numId="26" w16cid:durableId="641467945">
    <w:abstractNumId w:val="8"/>
  </w:num>
  <w:num w:numId="27" w16cid:durableId="881867102">
    <w:abstractNumId w:val="29"/>
  </w:num>
  <w:num w:numId="28" w16cid:durableId="1574124689">
    <w:abstractNumId w:val="24"/>
  </w:num>
  <w:num w:numId="29" w16cid:durableId="812331912">
    <w:abstractNumId w:val="18"/>
  </w:num>
  <w:num w:numId="30" w16cid:durableId="523710708">
    <w:abstractNumId w:val="23"/>
  </w:num>
  <w:num w:numId="31" w16cid:durableId="161713085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revisionView w:inkAnnotations="0"/>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5748D"/>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4E3C8B"/>
    <w:rsid w:val="00500D79"/>
    <w:rsid w:val="005055F5"/>
    <w:rsid w:val="00507DB2"/>
    <w:rsid w:val="00532F22"/>
    <w:rsid w:val="00534514"/>
    <w:rsid w:val="005457DD"/>
    <w:rsid w:val="00572562"/>
    <w:rsid w:val="005818C8"/>
    <w:rsid w:val="00590EBF"/>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287"/>
    <w:rsid w:val="007063F4"/>
    <w:rsid w:val="00731FA5"/>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8F7E32"/>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3A42"/>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0370"/>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946BD"/>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A4833"/>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aliases w:val="Normal_puce2,Puce"/>
    <w:basedOn w:val="Normal"/>
    <w:link w:val="ListParagraphChar"/>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D00370"/>
    <w:pPr>
      <w:spacing w:after="0" w:line="240" w:lineRule="auto"/>
    </w:pPr>
    <w:rPr>
      <w:rFonts w:ascii="Flama Semicondensed Light" w:eastAsia="Times New Roman" w:hAnsi="Flama Semicondensed Light" w:cs="Times New Roman"/>
      <w:sz w:val="24"/>
      <w:szCs w:val="24"/>
      <w:lang w:eastAsia="de-DE"/>
    </w:rPr>
  </w:style>
  <w:style w:type="character" w:customStyle="1" w:styleId="ListParagraphChar">
    <w:name w:val="List Paragraph Char"/>
    <w:aliases w:val="Normal_puce2 Char,Puce Char"/>
    <w:basedOn w:val="DefaultParagraphFont"/>
    <w:link w:val="ListParagraph"/>
    <w:uiPriority w:val="34"/>
    <w:rsid w:val="00706287"/>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hyperlink" Target="mailto:info@solactive.com"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info@solactive.com" TargetMode="External"/><Relationship Id="rId25" Type="http://schemas.openxmlformats.org/officeDocument/2006/relationships/footer" Target="footer3.xml"/><Relationship Id="rId2" Type="http://schemas.openxmlformats.org/officeDocument/2006/relationships/customXml" Target="../customXml/item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header" Target="header3.xml"/><Relationship Id="rId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6.svg"/><Relationship Id="rId19" Type="http://schemas.openxmlformats.org/officeDocument/2006/relationships/hyperlink" Target="http://www.solactive.com" TargetMode="External"/><Relationship Id="rId4" Type="http://schemas.openxmlformats.org/officeDocument/2006/relationships/styles" Target="styles.xml"/><Relationship Id="rId9"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panose1 w:val="02000000000000000000"/>
    <w:charset w:val="00"/>
    <w:family w:val="auto"/>
    <w:pitch w:val="variable"/>
    <w:sig w:usb0="A00000AF" w:usb1="4000207B" w:usb2="00000000" w:usb3="00000000" w:csb0="0000008B"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4E3C8B"/>
    <w:rsid w:val="00523072"/>
    <w:rsid w:val="005325BE"/>
    <w:rsid w:val="00731FA5"/>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2025-02-06T00:00:00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Normal.dotm</Template>
  <TotalTime>125</TotalTime>
  <Pages>7</Pages>
  <Words>1062</Words>
  <Characters>6055</Characters>
  <Application>Microsoft Office Word</Application>
  <DocSecurity>0</DocSecurity>
  <Lines>50</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 Solactive Genomics Index</dc:title>
  <dc:subject>Calculation Documents &amp; Methodologies</dc:subject>
  <dc:creator>Solactive AG</dc:creator>
  <cp:keywords/>
  <dc:description/>
  <cp:lastModifiedBy>Raveendran, Tharsan</cp:lastModifiedBy>
  <cp:revision>19</cp:revision>
  <cp:lastPrinted>2025-02-07T22:41:00Z</cp:lastPrinted>
  <dcterms:created xsi:type="dcterms:W3CDTF">2021-11-16T06:38:00Z</dcterms:created>
  <dcterms:modified xsi:type="dcterms:W3CDTF">2025-02-07T22:48:00Z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