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41330878" w:rsidR="0092193A" w:rsidRPr="0097651D" w:rsidRDefault="00C0572F" w:rsidP="0092193A">
              <w:pPr>
                <w:pStyle w:val="Title"/>
                <w:rPr>
                  <w:lang w:val="en-US"/>
                </w:rPr>
              </w:pPr>
              <w:r w:rsidRPr="00D76406">
                <w:rPr>
                  <w:color w:val="FFFFFF" w:themeColor="background1"/>
                  <w:lang w:val="en-US"/>
                </w:rPr>
                <w:t>Market Consultation</w:t>
              </w:r>
              <w:r>
                <w:rPr>
                  <w:color w:val="FFFFFF" w:themeColor="background1"/>
                  <w:lang w:val="en-US"/>
                </w:rPr>
                <w:t>- Solactive Blockchain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FBAB51E" w:rsidR="00466905" w:rsidRPr="00D902A1" w:rsidRDefault="006D3DB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7-04T00:00:00Z">
                                      <w:dateFormat w:val="dd MMMM yyyy"/>
                                      <w:lid w:val="en-GB"/>
                                      <w:storeMappedDataAs w:val="dateTime"/>
                                      <w:calendar w:val="gregorian"/>
                                    </w:date>
                                  </w:sdtPr>
                                  <w:sdtEndPr/>
                                  <w:sdtContent>
                                    <w:r w:rsidR="00C0572F">
                                      <w:rPr>
                                        <w:color w:val="FFFFFF" w:themeColor="background1"/>
                                        <w:sz w:val="26"/>
                                        <w:szCs w:val="26"/>
                                        <w:lang w:val="en-GB"/>
                                      </w:rPr>
                                      <w:t>04 July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6FBAB51E" w:rsidR="00466905" w:rsidRPr="00D902A1" w:rsidRDefault="006D3DB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7-04T00:00:00Z">
                                <w:dateFormat w:val="dd MMMM yyyy"/>
                                <w:lid w:val="en-GB"/>
                                <w:storeMappedDataAs w:val="dateTime"/>
                                <w:calendar w:val="gregorian"/>
                              </w:date>
                            </w:sdtPr>
                            <w:sdtEndPr/>
                            <w:sdtContent>
                              <w:r w:rsidR="00C0572F">
                                <w:rPr>
                                  <w:color w:val="FFFFFF" w:themeColor="background1"/>
                                  <w:sz w:val="26"/>
                                  <w:szCs w:val="26"/>
                                  <w:lang w:val="en-GB"/>
                                </w:rPr>
                                <w:t>04 July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37440976"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C0572F">
        <w:rPr>
          <w:lang w:val="en-US"/>
        </w:rPr>
        <w:t xml:space="preserve"> Indices </w:t>
      </w:r>
      <w:r w:rsidR="00E05994">
        <w:rPr>
          <w:lang w:val="en-US"/>
        </w:rPr>
        <w:t xml:space="preserve">(the </w:t>
      </w:r>
      <w:proofErr w:type="gramStart"/>
      <w:r w:rsidR="00C0572F">
        <w:rPr>
          <w:lang w:val="en-US"/>
        </w:rPr>
        <w:t>‘ Indices</w:t>
      </w:r>
      <w:proofErr w:type="gramEnd"/>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73A2C64" w14:textId="77777777" w:rsidR="00C0572F" w:rsidRPr="00C0572F" w:rsidRDefault="00C0572F" w:rsidP="00C0572F">
            <w:pPr>
              <w:spacing w:line="256" w:lineRule="auto"/>
              <w:rPr>
                <w:rFonts w:eastAsia="Calibri"/>
                <w:color w:val="000000"/>
                <w:sz w:val="22"/>
                <w:szCs w:val="22"/>
                <w:lang w:val="en-US" w:eastAsia="en-US"/>
              </w:rPr>
            </w:pPr>
            <w:r w:rsidRPr="00C0572F">
              <w:rPr>
                <w:rFonts w:eastAsia="Calibri"/>
                <w:color w:val="000000"/>
                <w:sz w:val="22"/>
                <w:szCs w:val="22"/>
                <w:lang w:val="en-US" w:eastAsia="en-US"/>
              </w:rPr>
              <w:t>Solactive Blockchain Index PR</w:t>
            </w:r>
          </w:p>
          <w:p w14:paraId="3DC5DCE2" w14:textId="77777777" w:rsidR="00C0572F" w:rsidRPr="00C0572F" w:rsidRDefault="00C0572F" w:rsidP="00C0572F">
            <w:pPr>
              <w:spacing w:line="256" w:lineRule="auto"/>
              <w:rPr>
                <w:rFonts w:eastAsia="Calibri"/>
                <w:color w:val="000000"/>
                <w:sz w:val="22"/>
                <w:szCs w:val="22"/>
                <w:lang w:val="en-US" w:eastAsia="en-US"/>
              </w:rPr>
            </w:pPr>
            <w:r w:rsidRPr="00C0572F">
              <w:rPr>
                <w:rFonts w:eastAsia="Calibri"/>
                <w:color w:val="000000"/>
                <w:sz w:val="22"/>
                <w:szCs w:val="22"/>
                <w:lang w:val="en-US" w:eastAsia="en-US"/>
              </w:rPr>
              <w:t>Solactive Blockchain Index</w:t>
            </w:r>
          </w:p>
          <w:p w14:paraId="1986C86E" w14:textId="6AB79ACC" w:rsidR="00E05994" w:rsidRPr="003A1DD5" w:rsidRDefault="00C0572F" w:rsidP="00C0572F">
            <w:pPr>
              <w:spacing w:line="256" w:lineRule="auto"/>
              <w:rPr>
                <w:rFonts w:eastAsia="Calibri"/>
                <w:color w:val="000000"/>
                <w:sz w:val="22"/>
                <w:szCs w:val="22"/>
                <w:lang w:val="en-US" w:eastAsia="en-US"/>
              </w:rPr>
            </w:pPr>
            <w:r w:rsidRPr="00C0572F">
              <w:rPr>
                <w:rFonts w:eastAsia="Calibri"/>
                <w:color w:val="000000"/>
                <w:sz w:val="22"/>
                <w:szCs w:val="22"/>
                <w:lang w:val="en-US" w:eastAsia="en-US"/>
              </w:rPr>
              <w:t>Solactive Blockchain Index GTR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34AD8B6" w14:textId="77777777" w:rsidR="00C0572F" w:rsidRPr="00C0572F" w:rsidRDefault="00C0572F" w:rsidP="00C0572F">
            <w:pPr>
              <w:spacing w:line="256" w:lineRule="auto"/>
              <w:rPr>
                <w:rFonts w:eastAsia="Calibri"/>
                <w:color w:val="000000"/>
                <w:lang w:val="en-GB" w:eastAsia="en-US"/>
              </w:rPr>
            </w:pPr>
            <w:proofErr w:type="gramStart"/>
            <w:r w:rsidRPr="00C0572F">
              <w:rPr>
                <w:rFonts w:eastAsia="Calibri"/>
                <w:color w:val="000000"/>
                <w:lang w:val="en-GB" w:eastAsia="en-US"/>
              </w:rPr>
              <w:t>.SOBKCHP</w:t>
            </w:r>
            <w:proofErr w:type="gramEnd"/>
          </w:p>
          <w:p w14:paraId="1968C19E" w14:textId="77777777" w:rsidR="00C0572F" w:rsidRPr="00C0572F" w:rsidRDefault="00C0572F" w:rsidP="00C0572F">
            <w:pPr>
              <w:spacing w:line="256" w:lineRule="auto"/>
              <w:rPr>
                <w:rFonts w:eastAsia="Calibri"/>
                <w:color w:val="000000"/>
                <w:lang w:val="en-GB" w:eastAsia="en-US"/>
              </w:rPr>
            </w:pPr>
            <w:proofErr w:type="gramStart"/>
            <w:r w:rsidRPr="00C0572F">
              <w:rPr>
                <w:rFonts w:eastAsia="Calibri"/>
                <w:color w:val="000000"/>
                <w:lang w:val="en-GB" w:eastAsia="en-US"/>
              </w:rPr>
              <w:t>.SOLBKCH</w:t>
            </w:r>
            <w:proofErr w:type="gramEnd"/>
          </w:p>
          <w:p w14:paraId="62C3F688" w14:textId="62D89BD8" w:rsidR="00E05994" w:rsidRDefault="00C0572F" w:rsidP="00C0572F">
            <w:pPr>
              <w:spacing w:line="256" w:lineRule="auto"/>
              <w:rPr>
                <w:rFonts w:eastAsia="Calibri"/>
                <w:color w:val="000000"/>
                <w:lang w:val="en-GB" w:eastAsia="en-US"/>
              </w:rPr>
            </w:pPr>
            <w:proofErr w:type="gramStart"/>
            <w:r w:rsidRPr="00C0572F">
              <w:rPr>
                <w:rFonts w:eastAsia="Calibri"/>
                <w:color w:val="000000"/>
                <w:lang w:val="en-GB" w:eastAsia="en-US"/>
              </w:rPr>
              <w:t>.SOBKCHT</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4B8C6D1" w14:textId="77777777" w:rsidR="00C0572F" w:rsidRPr="00C0572F" w:rsidRDefault="00C0572F" w:rsidP="00C0572F">
            <w:pPr>
              <w:spacing w:line="256" w:lineRule="auto"/>
              <w:rPr>
                <w:rFonts w:eastAsia="Calibri"/>
                <w:color w:val="000000"/>
                <w:lang w:val="en-GB" w:eastAsia="en-US"/>
              </w:rPr>
            </w:pPr>
            <w:r w:rsidRPr="00C0572F">
              <w:rPr>
                <w:rFonts w:eastAsia="Calibri"/>
                <w:color w:val="000000"/>
                <w:lang w:val="en-GB" w:eastAsia="en-US"/>
              </w:rPr>
              <w:t>DE000SL0DNQ7</w:t>
            </w:r>
          </w:p>
          <w:p w14:paraId="5FB00DED" w14:textId="77777777" w:rsidR="00C0572F" w:rsidRPr="00C0572F" w:rsidRDefault="00C0572F" w:rsidP="00C0572F">
            <w:pPr>
              <w:spacing w:line="256" w:lineRule="auto"/>
              <w:rPr>
                <w:rFonts w:eastAsia="Calibri"/>
                <w:color w:val="000000"/>
                <w:lang w:val="en-GB" w:eastAsia="en-US"/>
              </w:rPr>
            </w:pPr>
            <w:r w:rsidRPr="00C0572F">
              <w:rPr>
                <w:rFonts w:eastAsia="Calibri"/>
                <w:color w:val="000000"/>
                <w:lang w:val="en-GB" w:eastAsia="en-US"/>
              </w:rPr>
              <w:t>DE000SL0DNR5</w:t>
            </w:r>
          </w:p>
          <w:p w14:paraId="12D59FB1" w14:textId="00131A50" w:rsidR="00E05994" w:rsidRDefault="00C0572F" w:rsidP="00C0572F">
            <w:pPr>
              <w:spacing w:line="256" w:lineRule="auto"/>
              <w:rPr>
                <w:rFonts w:eastAsia="Calibri"/>
                <w:color w:val="000000"/>
                <w:lang w:val="en-GB" w:eastAsia="en-US"/>
              </w:rPr>
            </w:pPr>
            <w:r w:rsidRPr="00C0572F">
              <w:rPr>
                <w:rFonts w:eastAsia="Calibri"/>
                <w:color w:val="000000"/>
                <w:lang w:val="en-GB" w:eastAsia="en-US"/>
              </w:rPr>
              <w:t>DE000SL0DNS3</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2BF4DE5A" w14:textId="748B9A73" w:rsidR="007E47D4" w:rsidRDefault="00C0572F" w:rsidP="00F568D6">
      <w:pPr>
        <w:spacing w:before="0" w:after="160" w:line="259" w:lineRule="auto"/>
        <w:jc w:val="left"/>
        <w:rPr>
          <w:u w:val="single"/>
          <w:lang w:val="en-GB"/>
        </w:rPr>
      </w:pPr>
      <w:r w:rsidRPr="00C0572F">
        <w:rPr>
          <w:lang w:val="en-GB"/>
        </w:rPr>
        <w:t>Currently the index has a semi-annual rebalance and semi-annual reweighting. The reweighting is only triggered in the event that the INDEX ADMINISTRATOR determines that the aggregate INDEX weight of the Diversified and Pre-Revenue INDEX COMPONENTS is greater than 20% on any REVIEW DAY, the aggregate INDEX weight of the Diversified and Pre-Revenue INDEX COMPONENTS is capped at 18%.</w:t>
      </w:r>
      <w:r>
        <w:rPr>
          <w:lang w:val="en-GB"/>
        </w:rPr>
        <w:t xml:space="preserve"> </w:t>
      </w:r>
      <w:r w:rsidRPr="00C0572F">
        <w:rPr>
          <w:lang w:val="en-GB"/>
        </w:rPr>
        <w:t>Unfortunately, this is a trigger that does not take place often. As a result, the reweighting of the index is often skipped. With the recent volatility in the Blockchain industry, many Pure Play index components have experienced an increase in their index weights.</w:t>
      </w:r>
      <w:r w:rsidR="00E12969">
        <w:rPr>
          <w:lang w:val="en-GB"/>
        </w:rPr>
        <w:t xml:space="preserve"> This increase in weight has significantly impacted the diversification of the index which affects end users and licensees of the index who must comply with geographic diversification requirements for their products.</w:t>
      </w:r>
    </w:p>
    <w:p w14:paraId="2A079CAD" w14:textId="367EE72F"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E12969">
        <w:rPr>
          <w:b/>
          <w:bCs/>
          <w:sz w:val="28"/>
          <w:szCs w:val="28"/>
          <w:u w:val="single"/>
          <w:lang w:val="en-GB"/>
        </w:rPr>
        <w:t xml:space="preserve"> </w:t>
      </w:r>
      <w:r w:rsidR="00F568D6" w:rsidRPr="0026131F">
        <w:rPr>
          <w:b/>
          <w:bCs/>
          <w:sz w:val="28"/>
          <w:szCs w:val="28"/>
          <w:u w:val="single"/>
          <w:lang w:val="en-GB"/>
        </w:rPr>
        <w:t>to the Index Guideline</w:t>
      </w:r>
    </w:p>
    <w:p w14:paraId="71E9B338" w14:textId="6E3ACF36" w:rsidR="00E12969" w:rsidRDefault="004A428F" w:rsidP="00E12969">
      <w:pPr>
        <w:spacing w:before="0" w:after="160" w:line="259" w:lineRule="auto"/>
        <w:rPr>
          <w:lang w:val="en-GB"/>
        </w:rPr>
      </w:pPr>
      <w:r>
        <w:rPr>
          <w:lang w:val="en-GB"/>
        </w:rPr>
        <w:t xml:space="preserve">The following Methodology change </w:t>
      </w:r>
      <w:r w:rsidR="00A64163">
        <w:rPr>
          <w:lang/>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Pr>
          <w:lang w:val="en-GB"/>
        </w:rPr>
        <w:t>:</w:t>
      </w:r>
    </w:p>
    <w:p w14:paraId="1F436DDE" w14:textId="77777777" w:rsidR="00E12969" w:rsidRDefault="00E12969" w:rsidP="00E12969">
      <w:pPr>
        <w:rPr>
          <w:lang w:val="en-CA"/>
        </w:rPr>
      </w:pPr>
      <w:r>
        <w:rPr>
          <w:b/>
          <w:bCs/>
          <w:i/>
          <w:iCs/>
          <w:lang w:val="en-CA"/>
        </w:rPr>
        <w:t>From:</w:t>
      </w:r>
    </w:p>
    <w:p w14:paraId="78DA953E" w14:textId="77777777" w:rsidR="00E12969" w:rsidRPr="006D3DB0" w:rsidRDefault="00E12969" w:rsidP="00E12969">
      <w:pPr>
        <w:rPr>
          <w:b/>
          <w:bCs/>
          <w:lang w:val="en-CA"/>
        </w:rPr>
      </w:pPr>
      <w:r w:rsidRPr="006D3DB0">
        <w:rPr>
          <w:b/>
          <w:bCs/>
          <w:lang w:val="en-CA"/>
        </w:rPr>
        <w:t>2.3.2. REWEIGHTING OF THE INDEX COMPONENTS</w:t>
      </w:r>
    </w:p>
    <w:p w14:paraId="749C632E" w14:textId="77777777" w:rsidR="00E12969" w:rsidRPr="00782C08" w:rsidRDefault="00E12969" w:rsidP="00E12969">
      <w:pPr>
        <w:rPr>
          <w:lang w:val="en-CA"/>
        </w:rPr>
      </w:pPr>
      <w:r w:rsidRPr="00782C08">
        <w:rPr>
          <w:lang w:val="en-CA"/>
        </w:rPr>
        <w:t>If the INDEX ADMINISTRATOR determines that the aggregate INDEX weight of the Diversified and Pre-Revenue</w:t>
      </w:r>
      <w:r>
        <w:rPr>
          <w:lang w:val="en-CA"/>
        </w:rPr>
        <w:t xml:space="preserve"> </w:t>
      </w:r>
      <w:r w:rsidRPr="00782C08">
        <w:rPr>
          <w:lang w:val="en-CA"/>
        </w:rPr>
        <w:t>INDEX COMPONENTS is greater than 20% on any REVIEW DAY, the aggregate INDEX weight of the Diversified and</w:t>
      </w:r>
      <w:r>
        <w:rPr>
          <w:lang w:val="en-CA"/>
        </w:rPr>
        <w:t xml:space="preserve"> </w:t>
      </w:r>
      <w:r w:rsidRPr="00782C08">
        <w:rPr>
          <w:lang w:val="en-CA"/>
        </w:rPr>
        <w:t>Pre-Revenue INDEX COMPONENTS is capped at 18%.</w:t>
      </w:r>
    </w:p>
    <w:p w14:paraId="2E95DF10" w14:textId="77777777" w:rsidR="00E12969" w:rsidRPr="00782C08" w:rsidRDefault="00E12969" w:rsidP="00E12969">
      <w:pPr>
        <w:rPr>
          <w:lang w:val="en-CA"/>
        </w:rPr>
      </w:pPr>
      <w:r w:rsidRPr="00782C08">
        <w:rPr>
          <w:lang w:val="en-CA"/>
        </w:rPr>
        <w:t>Here, the excess weight is redistributed proportionally from Diversified and Pre-Revenue INDEX COMPONENTS</w:t>
      </w:r>
      <w:r>
        <w:rPr>
          <w:lang w:val="en-CA"/>
        </w:rPr>
        <w:t xml:space="preserve"> </w:t>
      </w:r>
      <w:r w:rsidRPr="00782C08">
        <w:rPr>
          <w:lang w:val="en-CA"/>
        </w:rPr>
        <w:t>exceeding an index weight of 0.3%. If these INDEX COMPONENTS would drop below an index weight of 0.3% in</w:t>
      </w:r>
      <w:r>
        <w:rPr>
          <w:lang w:val="en-CA"/>
        </w:rPr>
        <w:t xml:space="preserve"> </w:t>
      </w:r>
      <w:r w:rsidRPr="00782C08">
        <w:rPr>
          <w:lang w:val="en-CA"/>
        </w:rPr>
        <w:t>the redistribution, they are floored at 0.3%.</w:t>
      </w:r>
    </w:p>
    <w:p w14:paraId="469B2C53" w14:textId="77777777" w:rsidR="00E12969" w:rsidRDefault="00E12969" w:rsidP="00E12969">
      <w:pPr>
        <w:rPr>
          <w:lang w:val="en-CA"/>
        </w:rPr>
      </w:pPr>
      <w:r w:rsidRPr="00782C08">
        <w:rPr>
          <w:lang w:val="en-CA"/>
        </w:rPr>
        <w:t>If the aggregate INDEX weight of the Pure Play INDEX COMPONENTS weighted above 4.5% is below 45%, the</w:t>
      </w:r>
      <w:r>
        <w:rPr>
          <w:lang w:val="en-CA"/>
        </w:rPr>
        <w:t xml:space="preserve"> </w:t>
      </w:r>
      <w:r w:rsidRPr="00782C08">
        <w:rPr>
          <w:lang w:val="en-CA"/>
        </w:rPr>
        <w:t>excess weight is redistributed proportionally to the Pure Play INDEX COMPONENTS that are weighted below</w:t>
      </w:r>
      <w:r>
        <w:rPr>
          <w:lang w:val="en-CA"/>
        </w:rPr>
        <w:t xml:space="preserve"> </w:t>
      </w:r>
      <w:r w:rsidRPr="00782C08">
        <w:rPr>
          <w:lang w:val="en-CA"/>
        </w:rPr>
        <w:t>12.0% up to a maximum of 12.0% for each company. Here, the final aggregate weight of the Pure Play INDEX</w:t>
      </w:r>
      <w:r>
        <w:rPr>
          <w:lang w:val="en-CA"/>
        </w:rPr>
        <w:t xml:space="preserve"> </w:t>
      </w:r>
      <w:r w:rsidRPr="00782C08">
        <w:rPr>
          <w:lang w:val="en-CA"/>
        </w:rPr>
        <w:t>COMPONENTS weighted above 4.5% is capped at 45%. The remaining companies are capped at 4.5%.</w:t>
      </w:r>
    </w:p>
    <w:p w14:paraId="4A0038E1" w14:textId="77777777" w:rsidR="00E12969" w:rsidRDefault="00E12969" w:rsidP="00E12969">
      <w:pPr>
        <w:rPr>
          <w:lang w:val="en-CA"/>
        </w:rPr>
      </w:pPr>
      <w:r w:rsidRPr="00CE1839">
        <w:rPr>
          <w:lang w:val="en-US"/>
        </w:rPr>
        <w:lastRenderedPageBreak/>
        <w:t xml:space="preserve">If the </w:t>
      </w:r>
      <w:r w:rsidRPr="00CE1839">
        <w:rPr>
          <w:lang w:val="en-US" w:eastAsia="en-US"/>
        </w:rPr>
        <w:t>aggregate weight of the</w:t>
      </w:r>
      <w:r>
        <w:rPr>
          <w:lang w:val="en-US" w:eastAsia="en-US"/>
        </w:rPr>
        <w:t xml:space="preserve"> Pure Play</w:t>
      </w:r>
      <w:r w:rsidRPr="00CE1839">
        <w:rPr>
          <w:lang w:val="en-US"/>
        </w:rPr>
        <w:t xml:space="preserve"> </w:t>
      </w:r>
      <w:r w:rsidRPr="00CE1839">
        <w:rPr>
          <w:smallCaps/>
          <w:lang w:val="en-US" w:eastAsia="en-US"/>
        </w:rPr>
        <w:t>Index Components</w:t>
      </w:r>
      <w:r w:rsidRPr="00CE1839">
        <w:rPr>
          <w:lang w:val="en-US" w:eastAsia="en-US"/>
        </w:rPr>
        <w:t xml:space="preserve"> weighted above 4.5% is above 4</w:t>
      </w:r>
      <w:r>
        <w:rPr>
          <w:lang w:val="en-US" w:eastAsia="en-US"/>
        </w:rPr>
        <w:t>5</w:t>
      </w:r>
      <w:r w:rsidRPr="00CE1839">
        <w:rPr>
          <w:lang w:val="en-US" w:eastAsia="en-US"/>
        </w:rPr>
        <w:t>%, t</w:t>
      </w:r>
      <w:r w:rsidRPr="00CE1839">
        <w:rPr>
          <w:lang w:val="en-US"/>
        </w:rPr>
        <w:t>he excess weight is redistributed proportionally to the</w:t>
      </w:r>
      <w:r>
        <w:rPr>
          <w:lang w:val="en-US"/>
        </w:rPr>
        <w:t xml:space="preserve"> Pure Play</w:t>
      </w:r>
      <w:r w:rsidRPr="00CE1839">
        <w:rPr>
          <w:lang w:val="en-US"/>
        </w:rPr>
        <w:t xml:space="preserve"> </w:t>
      </w:r>
      <w:r w:rsidRPr="00CE1839">
        <w:rPr>
          <w:smallCaps/>
          <w:lang w:val="en-US"/>
        </w:rPr>
        <w:t>Index Components</w:t>
      </w:r>
      <w:r w:rsidRPr="00CE1839">
        <w:rPr>
          <w:lang w:val="en-US"/>
        </w:rPr>
        <w:t xml:space="preserve"> that are weighted below 4.5% up to a maximum of 4.5% for each company.</w:t>
      </w:r>
    </w:p>
    <w:p w14:paraId="0592E995" w14:textId="77777777" w:rsidR="00E12969" w:rsidRDefault="00E12969" w:rsidP="00E12969">
      <w:pPr>
        <w:rPr>
          <w:lang w:val="en-CA"/>
        </w:rPr>
      </w:pPr>
      <w:r>
        <w:rPr>
          <w:b/>
          <w:bCs/>
          <w:i/>
          <w:iCs/>
          <w:lang w:val="en-CA"/>
        </w:rPr>
        <w:t>To:</w:t>
      </w:r>
    </w:p>
    <w:p w14:paraId="7017A46F" w14:textId="77777777" w:rsidR="00E12969" w:rsidRPr="006D3DB0" w:rsidRDefault="00E12969" w:rsidP="00E12969">
      <w:pPr>
        <w:rPr>
          <w:b/>
          <w:bCs/>
          <w:lang w:val="en-CA"/>
        </w:rPr>
      </w:pPr>
      <w:r w:rsidRPr="006D3DB0">
        <w:rPr>
          <w:b/>
          <w:bCs/>
          <w:lang w:val="en-CA"/>
        </w:rPr>
        <w:t>2.3.2. REWEIGHTING OF THE INDEX COMPONENTS</w:t>
      </w:r>
    </w:p>
    <w:p w14:paraId="560C3613" w14:textId="77777777" w:rsidR="00E12969" w:rsidRPr="00255A52" w:rsidRDefault="00E12969" w:rsidP="00E12969">
      <w:pPr>
        <w:rPr>
          <w:lang w:val="en-CA"/>
        </w:rPr>
      </w:pPr>
      <w:r w:rsidRPr="00255A52">
        <w:rPr>
          <w:lang w:val="en-CA"/>
        </w:rPr>
        <w:t>On each REVIEW DAY the index is reweighted if at least one of the following two conditions is true:</w:t>
      </w:r>
    </w:p>
    <w:p w14:paraId="4EA42439" w14:textId="77777777" w:rsidR="00E12969" w:rsidRPr="006D3DB0" w:rsidRDefault="00E12969" w:rsidP="00E12969">
      <w:pPr>
        <w:pStyle w:val="ListParagraph"/>
        <w:numPr>
          <w:ilvl w:val="0"/>
          <w:numId w:val="22"/>
        </w:numPr>
        <w:rPr>
          <w:lang w:val="en-CA"/>
        </w:rPr>
      </w:pPr>
      <w:r w:rsidRPr="00E12969">
        <w:rPr>
          <w:lang w:val="en-CA"/>
        </w:rPr>
        <w:t>If the INDEX ADMINISTRATOR determines that the aggregate INDEX weight of the Diversified and Pre-Revenue INDEX COMPONENTS is greater than 20% on any REVIEW DAY, the aggregate INDEX weight of the Diversified and Pre-Revenue INDEX COMPONENTS is capped at 18%.</w:t>
      </w:r>
    </w:p>
    <w:p w14:paraId="000988A1" w14:textId="77777777" w:rsidR="00E12969" w:rsidRDefault="00E12969" w:rsidP="00E12969">
      <w:pPr>
        <w:pStyle w:val="ListParagraph"/>
        <w:ind w:left="1080"/>
        <w:rPr>
          <w:b/>
          <w:bCs/>
          <w:lang w:val="en-CA"/>
        </w:rPr>
      </w:pPr>
      <w:r w:rsidRPr="00E12969">
        <w:rPr>
          <w:lang w:val="en-CA"/>
        </w:rPr>
        <w:t>Here, the excess weight is redistributed proportionally from Diversified and Pre-Revenue INDEX COMPONENTS exceeding an index weight of 0.3%. If these INDEX COMPONENTS would drop below an index weight of 0.3% in the redistribution, they are floored at 0.3%.</w:t>
      </w:r>
    </w:p>
    <w:p w14:paraId="798C1AB8" w14:textId="77777777" w:rsidR="00E12969" w:rsidRDefault="00E12969" w:rsidP="00E12969">
      <w:pPr>
        <w:pStyle w:val="ListParagraph"/>
        <w:ind w:left="1080"/>
        <w:rPr>
          <w:b/>
          <w:bCs/>
          <w:lang w:val="en-CA"/>
        </w:rPr>
      </w:pPr>
      <w:r w:rsidRPr="00255A52">
        <w:rPr>
          <w:lang w:val="en-CA"/>
        </w:rPr>
        <w:t>If the aggregate INDEX weight of the Pure Play INDEX COMPONENTS weighted above 4.5% is below 45%, the excess weight is redistributed proportionally to the Pure Play INDEX COMPONENTS that are weighted below 12.0% up to a maximum of 12.0% for each company. Here, the final aggregate weight of the Pure Play INDEX COMPONENTS weighted above 4.5% is capped at 45%. The remaining companies are capped at 4.5%.</w:t>
      </w:r>
    </w:p>
    <w:p w14:paraId="622467E6" w14:textId="6D1FD71B" w:rsidR="00E12969" w:rsidRPr="00255A52" w:rsidRDefault="00E12969" w:rsidP="006D3DB0">
      <w:pPr>
        <w:pStyle w:val="ListParagraph"/>
        <w:ind w:left="1080"/>
        <w:rPr>
          <w:lang w:val="en-CA"/>
        </w:rPr>
      </w:pPr>
      <w:r w:rsidRPr="00255A52">
        <w:rPr>
          <w:lang w:val="en-CA"/>
        </w:rPr>
        <w:t>If the aggregate weight of the INDEX COMPONENTS weighted above 4.5% is above 45%, the excess weight is redistributed proportionally to the INDEX COMPONENTS that are weighted below 4.5% up to a maximum of 4.5% for each company.</w:t>
      </w:r>
    </w:p>
    <w:p w14:paraId="29B2D9EB" w14:textId="73AFC9BF" w:rsidR="00E12969" w:rsidRPr="00E12969" w:rsidRDefault="00E12969" w:rsidP="006D3DB0">
      <w:pPr>
        <w:pStyle w:val="ListParagraph"/>
        <w:numPr>
          <w:ilvl w:val="0"/>
          <w:numId w:val="22"/>
        </w:numPr>
        <w:rPr>
          <w:lang w:val="en-CA"/>
        </w:rPr>
      </w:pPr>
      <w:r w:rsidRPr="00E12969">
        <w:rPr>
          <w:lang w:val="en-CA"/>
        </w:rPr>
        <w:t>If the INDEX ADMINISTRATOR determines that any INDEX COMPONENT exceeds a weight of 15% on any REVIEW DAY, that component’s weight will be capped at 15%.</w:t>
      </w:r>
    </w:p>
    <w:p w14:paraId="2B6C9A58" w14:textId="189CD397" w:rsidR="00113086" w:rsidRPr="00C04273" w:rsidRDefault="00E12969" w:rsidP="006D3DB0">
      <w:pPr>
        <w:spacing w:before="0" w:after="160" w:line="259" w:lineRule="auto"/>
        <w:ind w:left="1080"/>
        <w:rPr>
          <w:i/>
          <w:highlight w:val="yellow"/>
          <w:lang w:val="en-GB"/>
        </w:rPr>
      </w:pPr>
      <w:r w:rsidRPr="00255A52">
        <w:rPr>
          <w:lang w:val="en-CA"/>
        </w:rPr>
        <w:t>If the aggregate weight of the INDEX COMPONENTS weighted above 4.5% is above 45%, the excess weight is redistributed proportionally to the INDEX COMPONENTS that are weighted below 4.5% up to a maximum of 4.5% for each company.</w:t>
      </w:r>
      <w:r w:rsidRPr="00C04273" w:rsidDel="00E12969">
        <w:rPr>
          <w:i/>
          <w:highlight w:val="yellow"/>
          <w:lang w:val="en-GB"/>
        </w:rPr>
        <w:t xml:space="preserve"> </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lastRenderedPageBreak/>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BBA4CA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12969">
        <w:rPr>
          <w:lang w:val="en-US"/>
        </w:rPr>
        <w:t>Solactive Blockchain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0634786"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E12969">
        <w:rPr>
          <w:lang w:val="en-US"/>
        </w:rPr>
        <w:t xml:space="preserve"> July 18</w:t>
      </w:r>
      <w:r w:rsidR="00E12969" w:rsidRPr="006D3DB0">
        <w:rPr>
          <w:vertAlign w:val="superscript"/>
          <w:lang w:val="en-US"/>
        </w:rPr>
        <w:t>th</w:t>
      </w:r>
      <w:r w:rsidR="00E12969">
        <w:rPr>
          <w:lang w:val="en-US"/>
        </w:rPr>
        <w:t>, 2024.</w:t>
      </w:r>
    </w:p>
    <w:p w14:paraId="741A56A5" w14:textId="132BEACB"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E12969">
        <w:rPr>
          <w:lang w:val="en-US"/>
        </w:rPr>
        <w:t>August 1</w:t>
      </w:r>
      <w:r w:rsidR="00E12969" w:rsidRPr="006D3DB0">
        <w:rPr>
          <w:vertAlign w:val="superscript"/>
          <w:lang w:val="en-US"/>
        </w:rPr>
        <w:t>st</w:t>
      </w:r>
      <w:r w:rsidR="00E12969">
        <w:rPr>
          <w:lang w:val="en-US"/>
        </w:rPr>
        <w:t>, 2024.</w:t>
      </w:r>
    </w:p>
    <w:p w14:paraId="0D223365" w14:textId="77777777" w:rsidR="00651886" w:rsidRPr="00C04273" w:rsidRDefault="00651886" w:rsidP="005055F5">
      <w:pPr>
        <w:spacing w:before="0" w:after="0" w:line="360" w:lineRule="auto"/>
        <w:rPr>
          <w:lang w:val="en-US"/>
        </w:rPr>
      </w:pPr>
    </w:p>
    <w:p w14:paraId="04131284" w14:textId="67DE46EE"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E12969" w:rsidRPr="006D3DB0">
        <w:rPr>
          <w:b/>
          <w:bCs/>
          <w:lang w:val="en-US"/>
        </w:rPr>
        <w:t>- Solactive Blockchain Index</w:t>
      </w:r>
      <w:r w:rsidR="0026131F">
        <w:rPr>
          <w:lang/>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lastRenderedPageBreak/>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w:lastRenderedPageBreak/>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545710B-177E-419F-A94D-50D053040A74}"/>
  </w:font>
  <w:font w:name="Flama Semicondensed Light">
    <w:panose1 w:val="02000000000000000000"/>
    <w:charset w:val="00"/>
    <w:family w:val="auto"/>
    <w:pitch w:val="variable"/>
    <w:sig w:usb0="A00000AF" w:usb1="4000207B" w:usb2="00000000" w:usb3="00000000" w:csb0="0000008B" w:csb1="00000000"/>
    <w:embedRegular r:id="rId2" w:fontKey="{678F153B-2A90-4CD0-973C-47C553FE6590}"/>
    <w:embedBold r:id="rId3" w:fontKey="{228F61D2-7E32-455F-B1E8-60CBF149F3B2}"/>
    <w:embedItalic r:id="rId4" w:fontKey="{216459F8-B5F8-492C-B0EE-7ADF059366B6}"/>
    <w:embedBoldItalic r:id="rId5" w:fontKey="{7CA3630B-7215-4864-A8D5-9C3ABC64DDA4}"/>
  </w:font>
  <w:font w:name="Segoe UI">
    <w:panose1 w:val="020B0502040204020203"/>
    <w:charset w:val="00"/>
    <w:family w:val="swiss"/>
    <w:pitch w:val="variable"/>
    <w:sig w:usb0="E4002EFF" w:usb1="C000E47F" w:usb2="00000009" w:usb3="00000000" w:csb0="000001FF" w:csb1="00000000"/>
    <w:embedRegular r:id="rId6" w:fontKey="{682082E9-0B61-4E77-9341-3BCBD69A3AAC}"/>
  </w:font>
  <w:font w:name="Flama Semicondensed Medium">
    <w:panose1 w:val="02000000000000000000"/>
    <w:charset w:val="00"/>
    <w:family w:val="auto"/>
    <w:pitch w:val="variable"/>
    <w:sig w:usb0="A00000AF" w:usb1="4000207B" w:usb2="00000000" w:usb3="00000000" w:csb0="0000008B" w:csb1="00000000"/>
    <w:embedRegular r:id="rId7" w:fontKey="{D21B9BC0-C67B-4660-ACEC-005683F931D3}"/>
    <w:embedBold r:id="rId8" w:fontKey="{99475C5F-41EB-4EF6-8140-1D084FDD7384}"/>
  </w:font>
  <w:font w:name="Calibri Light">
    <w:panose1 w:val="020F0302020204030204"/>
    <w:charset w:val="00"/>
    <w:family w:val="swiss"/>
    <w:pitch w:val="variable"/>
    <w:sig w:usb0="E4002EFF" w:usb1="C200247B" w:usb2="00000009" w:usb3="00000000" w:csb0="000001FF" w:csb1="00000000"/>
    <w:embedRegular r:id="rId9" w:fontKey="{E7FE2D34-23E5-4C4B-90DF-6618E73D7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5E9FEE3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C0572F">
          <w:rPr>
            <w:lang w:val="en-US"/>
          </w:rPr>
          <w:t>Market Consultation- Solactive Blockchain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5.9pt;height:19.9pt" o:bullet="t">
        <v:imagedata r:id="rId1" o:title="S_Icons-Haken_02"/>
      </v:shape>
    </w:pict>
  </w:numPicBullet>
  <w:numPicBullet w:numPicBulletId="1">
    <w:pict>
      <v:shape id="_x0000_i1071" type="#_x0000_t75" style="width:19.9pt;height:19.9pt" o:bullet="t">
        <v:imagedata r:id="rId2" o:title="S_Icons-Pfeil_02"/>
      </v:shape>
    </w:pict>
  </w:numPicBullet>
  <w:numPicBullet w:numPicBulletId="2">
    <w:pict>
      <v:shape id="_x0000_i1072" type="#_x0000_t75" style="width:15.35pt;height:15.85pt" o:bullet="t">
        <v:imagedata r:id="rId3" o:title="Bullet_2_Indices_Small"/>
      </v:shape>
    </w:pict>
  </w:numPicBullet>
  <w:numPicBullet w:numPicBulletId="3">
    <w:pict>
      <v:shape id="_x0000_i107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542FB2"/>
    <w:multiLevelType w:val="hybridMultilevel"/>
    <w:tmpl w:val="2F8EE6C8"/>
    <w:lvl w:ilvl="0" w:tplc="BBD67F62">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6941926">
    <w:abstractNumId w:val="6"/>
  </w:num>
  <w:num w:numId="2" w16cid:durableId="1244023902">
    <w:abstractNumId w:val="7"/>
  </w:num>
  <w:num w:numId="3" w16cid:durableId="269632315">
    <w:abstractNumId w:val="16"/>
  </w:num>
  <w:num w:numId="4" w16cid:durableId="2006281790">
    <w:abstractNumId w:val="20"/>
  </w:num>
  <w:num w:numId="5" w16cid:durableId="1799834336">
    <w:abstractNumId w:val="15"/>
  </w:num>
  <w:num w:numId="6" w16cid:durableId="433139315">
    <w:abstractNumId w:val="8"/>
  </w:num>
  <w:num w:numId="7" w16cid:durableId="1230536009">
    <w:abstractNumId w:val="19"/>
  </w:num>
  <w:num w:numId="8" w16cid:durableId="313484935">
    <w:abstractNumId w:val="4"/>
  </w:num>
  <w:num w:numId="9" w16cid:durableId="746848472">
    <w:abstractNumId w:val="13"/>
  </w:num>
  <w:num w:numId="10" w16cid:durableId="625896764">
    <w:abstractNumId w:val="12"/>
  </w:num>
  <w:num w:numId="11" w16cid:durableId="1576669924">
    <w:abstractNumId w:val="3"/>
  </w:num>
  <w:num w:numId="12" w16cid:durableId="779447241">
    <w:abstractNumId w:val="2"/>
  </w:num>
  <w:num w:numId="13" w16cid:durableId="648096757">
    <w:abstractNumId w:val="14"/>
  </w:num>
  <w:num w:numId="14" w16cid:durableId="1752387040">
    <w:abstractNumId w:val="10"/>
  </w:num>
  <w:num w:numId="15" w16cid:durableId="879784447">
    <w:abstractNumId w:val="5"/>
  </w:num>
  <w:num w:numId="16" w16cid:durableId="999119679">
    <w:abstractNumId w:val="11"/>
  </w:num>
  <w:num w:numId="17" w16cid:durableId="1949383171">
    <w:abstractNumId w:val="21"/>
  </w:num>
  <w:num w:numId="18" w16cid:durableId="765152628">
    <w:abstractNumId w:val="9"/>
  </w:num>
  <w:num w:numId="19" w16cid:durableId="843865551">
    <w:abstractNumId w:val="17"/>
  </w:num>
  <w:num w:numId="20" w16cid:durableId="1118257318">
    <w:abstractNumId w:val="18"/>
  </w:num>
  <w:num w:numId="21" w16cid:durableId="1229730542">
    <w:abstractNumId w:val="0"/>
  </w:num>
  <w:num w:numId="22" w16cid:durableId="664821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D3DB0"/>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0572F"/>
    <w:rsid w:val="00C22CA0"/>
    <w:rsid w:val="00C24716"/>
    <w:rsid w:val="00C30238"/>
    <w:rsid w:val="00C32515"/>
    <w:rsid w:val="00C4722A"/>
    <w:rsid w:val="00C676D8"/>
    <w:rsid w:val="00C750BC"/>
    <w:rsid w:val="00C77505"/>
    <w:rsid w:val="00C77B4F"/>
    <w:rsid w:val="00CA50E8"/>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12969"/>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43E"/>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C0572F"/>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A50E8"/>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Pages>
  <Words>848</Words>
  <Characters>4839</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Blockchain Index</dc:title>
  <dc:subject>Calculation Documents &amp; Methodologies</dc:subject>
  <dc:creator>Solactive AG</dc:creator>
  <cp:keywords/>
  <dc:description/>
  <cp:lastModifiedBy>Raveendran, Tharsan</cp:lastModifiedBy>
  <cp:revision>17</cp:revision>
  <cp:lastPrinted>2018-12-10T16:54:00Z</cp:lastPrinted>
  <dcterms:created xsi:type="dcterms:W3CDTF">2021-11-16T06:38:00Z</dcterms:created>
  <dcterms:modified xsi:type="dcterms:W3CDTF">2024-07-04T20:49:00Z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