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Flama Semicondensed Light" w:hAnsi="Flama Semicondensed Light" w:cs="Times New Roman"/>
          <w:sz w:val="24"/>
          <w:szCs w:val="24"/>
          <w:lang w:val="de-DE"/>
        </w:rPr>
        <w:id w:val="312156981"/>
        <w:docPartObj>
          <w:docPartGallery w:val="Cover Pages"/>
          <w:docPartUnique/>
        </w:docPartObj>
      </w:sdtPr>
      <w:sdtEndPr>
        <w:rPr>
          <w:lang w:val="en-US"/>
        </w:rPr>
      </w:sdtEndPr>
      <w:sdtContent>
        <w:p w14:paraId="2A1DB275" w14:textId="3C8F3681" w:rsidR="00A65C78" w:rsidRDefault="00B915B6" w:rsidP="00353FC3">
          <w:pPr>
            <w:pStyle w:val="WhitneyBod"/>
          </w:pPr>
          <w:r w:rsidRPr="0097651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noProof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37938844" w:rsidR="0092193A" w:rsidRPr="0097651D" w:rsidRDefault="00353FC3" w:rsidP="0092193A">
              <w:pPr>
                <w:pStyle w:val="Title"/>
                <w:rPr>
                  <w:lang w:val="en-US"/>
                </w:rPr>
              </w:pPr>
              <w:r w:rsidRPr="00353FC3">
                <w:rPr>
                  <w:color w:val="FFFFFF" w:themeColor="background1"/>
                  <w:lang w:val="en-US"/>
                </w:rPr>
                <w:t>Market Consultation | Solactive US Benchmark Index Series</w:t>
              </w:r>
              <w:r w:rsidR="00F34653">
                <w:rPr>
                  <w:color w:val="FFFFFF" w:themeColor="background1"/>
                  <w:lang w:val="en-US"/>
                </w:rPr>
                <w:t xml:space="preserve"> </w:t>
              </w:r>
              <w:r w:rsidRPr="00353FC3">
                <w:rPr>
                  <w:color w:val="FFFFFF" w:themeColor="background1"/>
                  <w:lang w:val="en-US"/>
                </w:rPr>
                <w:t>| Guideline change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BAC0393" w:rsidR="00466905" w:rsidRPr="00D902A1" w:rsidRDefault="00F0606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1-30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0F2800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30 January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BAC0393" w:rsidR="00466905" w:rsidRPr="00D902A1" w:rsidRDefault="00F0606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1-30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0F2800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30 January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273FB403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>Methodology of the following</w:t>
      </w:r>
      <w:r w:rsidR="00FB5FF7">
        <w:rPr>
          <w:lang w:val="en-GB"/>
        </w:rPr>
        <w:t xml:space="preserve"> Indices</w:t>
      </w:r>
      <w:r w:rsidR="00E05994">
        <w:rPr>
          <w:lang w:val="en-US"/>
        </w:rPr>
        <w:t xml:space="preserve"> (the ‘</w:t>
      </w:r>
      <w:r w:rsidR="00FB5FF7">
        <w:rPr>
          <w:lang w:val="en-US"/>
        </w:rPr>
        <w:t>Indices’</w:t>
      </w:r>
      <w:r w:rsidR="00E05994">
        <w:rPr>
          <w:lang w:val="en-US"/>
        </w:rPr>
        <w:t>):</w:t>
      </w:r>
    </w:p>
    <w:tbl>
      <w:tblPr>
        <w:tblStyle w:val="TableGrid"/>
        <w:tblW w:w="9540" w:type="dxa"/>
        <w:tblInd w:w="85" w:type="dxa"/>
        <w:tblLook w:val="04A0" w:firstRow="1" w:lastRow="0" w:firstColumn="1" w:lastColumn="0" w:noHBand="0" w:noVBand="1"/>
      </w:tblPr>
      <w:tblGrid>
        <w:gridCol w:w="5424"/>
        <w:gridCol w:w="2392"/>
        <w:gridCol w:w="1724"/>
      </w:tblGrid>
      <w:tr w:rsidR="00930571" w:rsidRPr="001973E5" w14:paraId="298F7A5C" w14:textId="77777777" w:rsidTr="004B0668">
        <w:trPr>
          <w:trHeight w:val="20"/>
        </w:trPr>
        <w:tc>
          <w:tcPr>
            <w:tcW w:w="5569" w:type="dxa"/>
            <w:shd w:val="clear" w:color="auto" w:fill="D9D9D9" w:themeFill="background1" w:themeFillShade="D9"/>
            <w:vAlign w:val="center"/>
          </w:tcPr>
          <w:p w14:paraId="79DD651F" w14:textId="5E7E94F2" w:rsidR="00930571" w:rsidRPr="001973E5" w:rsidRDefault="00930571" w:rsidP="001973E5">
            <w:pPr>
              <w:spacing w:line="256" w:lineRule="auto"/>
              <w:rPr>
                <w:b/>
                <w:bCs/>
                <w:lang w:val="de-DE"/>
              </w:rPr>
            </w:pPr>
            <w:r w:rsidRPr="001973E5">
              <w:rPr>
                <w:b/>
                <w:bCs/>
                <w:lang w:val="de-DE"/>
              </w:rPr>
              <w:t>Name</w:t>
            </w:r>
          </w:p>
        </w:tc>
        <w:tc>
          <w:tcPr>
            <w:tcW w:w="2427" w:type="dxa"/>
            <w:shd w:val="clear" w:color="auto" w:fill="D9D9D9" w:themeFill="background1" w:themeFillShade="D9"/>
            <w:vAlign w:val="center"/>
          </w:tcPr>
          <w:p w14:paraId="3D7D4694" w14:textId="0057EDCD" w:rsidR="00930571" w:rsidRPr="001973E5" w:rsidRDefault="00930571" w:rsidP="001973E5">
            <w:pPr>
              <w:spacing w:line="256" w:lineRule="auto"/>
              <w:rPr>
                <w:b/>
                <w:bCs/>
                <w:lang w:val="de-DE"/>
              </w:rPr>
            </w:pPr>
            <w:r w:rsidRPr="001973E5">
              <w:rPr>
                <w:b/>
                <w:bCs/>
                <w:lang w:val="de-DE"/>
              </w:rPr>
              <w:t>RIC</w:t>
            </w:r>
          </w:p>
        </w:tc>
        <w:tc>
          <w:tcPr>
            <w:tcW w:w="1544" w:type="dxa"/>
            <w:shd w:val="clear" w:color="auto" w:fill="D9D9D9" w:themeFill="background1" w:themeFillShade="D9"/>
            <w:vAlign w:val="center"/>
          </w:tcPr>
          <w:p w14:paraId="0A098066" w14:textId="1EE32396" w:rsidR="00930571" w:rsidRPr="001973E5" w:rsidRDefault="00930571" w:rsidP="001973E5">
            <w:pPr>
              <w:spacing w:line="256" w:lineRule="auto"/>
              <w:rPr>
                <w:b/>
                <w:bCs/>
                <w:lang w:val="de-DE"/>
              </w:rPr>
            </w:pPr>
            <w:r w:rsidRPr="001973E5">
              <w:rPr>
                <w:b/>
                <w:bCs/>
                <w:lang w:val="de-DE"/>
              </w:rPr>
              <w:t>ISIN</w:t>
            </w:r>
          </w:p>
        </w:tc>
      </w:tr>
      <w:tr w:rsidR="00930571" w:rsidRPr="001973E5" w14:paraId="1E5B5A7E" w14:textId="77777777" w:rsidTr="004B0668">
        <w:trPr>
          <w:trHeight w:val="20"/>
        </w:trPr>
        <w:tc>
          <w:tcPr>
            <w:tcW w:w="5569" w:type="dxa"/>
            <w:vAlign w:val="center"/>
          </w:tcPr>
          <w:p w14:paraId="0055E2D5" w14:textId="436F7605" w:rsidR="00930571" w:rsidRPr="001973E5" w:rsidRDefault="00930571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rFonts w:cs="Calibri"/>
                <w:lang w:val="en-GB"/>
              </w:rPr>
              <w:t>Solactive US Broad Market Index (GTR, PR)</w:t>
            </w:r>
          </w:p>
        </w:tc>
        <w:tc>
          <w:tcPr>
            <w:tcW w:w="2427" w:type="dxa"/>
            <w:vAlign w:val="center"/>
          </w:tcPr>
          <w:p w14:paraId="50A8950A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.SOLUSBMG</w:t>
            </w:r>
          </w:p>
          <w:p w14:paraId="79EBBCD3" w14:textId="6E6A86F2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.SOLUSBMI</w:t>
            </w:r>
          </w:p>
        </w:tc>
        <w:tc>
          <w:tcPr>
            <w:tcW w:w="1544" w:type="dxa"/>
            <w:vAlign w:val="center"/>
          </w:tcPr>
          <w:p w14:paraId="05AD1AF6" w14:textId="77777777" w:rsidR="00930571" w:rsidRPr="001973E5" w:rsidRDefault="00930571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DE000SLA1GB6</w:t>
            </w:r>
          </w:p>
          <w:p w14:paraId="63B7D460" w14:textId="5CEFFC8C" w:rsidR="00930571" w:rsidRPr="001973E5" w:rsidRDefault="00930571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DE000SLA1F15</w:t>
            </w:r>
          </w:p>
        </w:tc>
      </w:tr>
      <w:tr w:rsidR="00930571" w:rsidRPr="001973E5" w14:paraId="225F2C09" w14:textId="77777777" w:rsidTr="004B0668">
        <w:trPr>
          <w:trHeight w:val="20"/>
        </w:trPr>
        <w:tc>
          <w:tcPr>
            <w:tcW w:w="5569" w:type="dxa"/>
            <w:vAlign w:val="center"/>
          </w:tcPr>
          <w:p w14:paraId="31AB51AA" w14:textId="3BE601AF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Solactive US Large Cap Index (GTR, PR, NTR)</w:t>
            </w:r>
          </w:p>
        </w:tc>
        <w:tc>
          <w:tcPr>
            <w:tcW w:w="2427" w:type="dxa"/>
            <w:vAlign w:val="center"/>
          </w:tcPr>
          <w:p w14:paraId="397F03CF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.SOLUSLCG</w:t>
            </w:r>
          </w:p>
          <w:p w14:paraId="58C1F776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.SOLUSLCP</w:t>
            </w:r>
          </w:p>
          <w:p w14:paraId="1468C1F3" w14:textId="243F4CD9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.SOLUSLCX</w:t>
            </w:r>
          </w:p>
        </w:tc>
        <w:tc>
          <w:tcPr>
            <w:tcW w:w="1544" w:type="dxa"/>
            <w:vAlign w:val="center"/>
          </w:tcPr>
          <w:p w14:paraId="7D3AE86E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DE000SLA0Q47</w:t>
            </w:r>
          </w:p>
          <w:p w14:paraId="57F3CD4E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DE000SLA0Q54</w:t>
            </w:r>
          </w:p>
          <w:p w14:paraId="11E53CEE" w14:textId="3F18013A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DE000SLA1706</w:t>
            </w:r>
          </w:p>
        </w:tc>
      </w:tr>
      <w:tr w:rsidR="00930571" w:rsidRPr="001973E5" w14:paraId="697CA9F7" w14:textId="77777777" w:rsidTr="004B0668">
        <w:trPr>
          <w:trHeight w:val="20"/>
        </w:trPr>
        <w:tc>
          <w:tcPr>
            <w:tcW w:w="5569" w:type="dxa"/>
            <w:vAlign w:val="center"/>
          </w:tcPr>
          <w:p w14:paraId="38292A3D" w14:textId="1CBDE424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Solactive US Large &amp; Mid Cap Index (GTR, PR)</w:t>
            </w:r>
          </w:p>
        </w:tc>
        <w:tc>
          <w:tcPr>
            <w:tcW w:w="2427" w:type="dxa"/>
            <w:vAlign w:val="center"/>
          </w:tcPr>
          <w:p w14:paraId="00C9C135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.SOLUSMCG</w:t>
            </w:r>
          </w:p>
          <w:p w14:paraId="1E463F41" w14:textId="78F0FC6C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.SOLUSMCP</w:t>
            </w:r>
          </w:p>
        </w:tc>
        <w:tc>
          <w:tcPr>
            <w:tcW w:w="1544" w:type="dxa"/>
            <w:vAlign w:val="center"/>
          </w:tcPr>
          <w:p w14:paraId="49F0901E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DE000SLA0Q62</w:t>
            </w:r>
          </w:p>
          <w:p w14:paraId="07F552F8" w14:textId="40257B1E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DE000SLA0Q70</w:t>
            </w:r>
          </w:p>
        </w:tc>
      </w:tr>
      <w:tr w:rsidR="00930571" w:rsidRPr="001973E5" w14:paraId="25E2A693" w14:textId="77777777" w:rsidTr="004B0668">
        <w:trPr>
          <w:trHeight w:val="20"/>
        </w:trPr>
        <w:tc>
          <w:tcPr>
            <w:tcW w:w="5569" w:type="dxa"/>
            <w:vAlign w:val="center"/>
          </w:tcPr>
          <w:p w14:paraId="6E915992" w14:textId="263469C6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Solactive US Small Cap Index (GTR, PR)</w:t>
            </w:r>
          </w:p>
        </w:tc>
        <w:tc>
          <w:tcPr>
            <w:tcW w:w="2427" w:type="dxa"/>
            <w:vAlign w:val="center"/>
          </w:tcPr>
          <w:p w14:paraId="7C4DEED6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.SOLUSSCG</w:t>
            </w:r>
          </w:p>
          <w:p w14:paraId="59262502" w14:textId="2944B3DB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.SOLUSSCP</w:t>
            </w:r>
          </w:p>
        </w:tc>
        <w:tc>
          <w:tcPr>
            <w:tcW w:w="1544" w:type="dxa"/>
            <w:vAlign w:val="center"/>
          </w:tcPr>
          <w:p w14:paraId="52FCFB12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DE000SLA0Q88</w:t>
            </w:r>
          </w:p>
          <w:p w14:paraId="27669804" w14:textId="5010A2DC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DE000SLA0Q96</w:t>
            </w:r>
          </w:p>
        </w:tc>
      </w:tr>
      <w:tr w:rsidR="00930571" w:rsidRPr="001973E5" w14:paraId="36986AAF" w14:textId="77777777" w:rsidTr="004B0668">
        <w:trPr>
          <w:trHeight w:val="20"/>
        </w:trPr>
        <w:tc>
          <w:tcPr>
            <w:tcW w:w="5569" w:type="dxa"/>
            <w:vAlign w:val="center"/>
          </w:tcPr>
          <w:p w14:paraId="031D1612" w14:textId="0FC04433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Solactive US Small &amp; Mid Cap Index (GTR, PR)</w:t>
            </w:r>
          </w:p>
        </w:tc>
        <w:tc>
          <w:tcPr>
            <w:tcW w:w="2427" w:type="dxa"/>
            <w:vAlign w:val="center"/>
          </w:tcPr>
          <w:p w14:paraId="0DE45AA7" w14:textId="668DD45D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.SOLUSSMG</w:t>
            </w:r>
            <w:r w:rsidRPr="001973E5">
              <w:rPr>
                <w:lang w:val="en-GB"/>
              </w:rPr>
              <w:br/>
              <w:t>.</w:t>
            </w:r>
            <w:r w:rsidR="004B0668" w:rsidRPr="001973E5">
              <w:rPr>
                <w:lang w:val="en-GB"/>
              </w:rPr>
              <w:t>SOLUSSMG</w:t>
            </w:r>
          </w:p>
        </w:tc>
        <w:tc>
          <w:tcPr>
            <w:tcW w:w="1544" w:type="dxa"/>
            <w:vAlign w:val="center"/>
          </w:tcPr>
          <w:p w14:paraId="0C766F4C" w14:textId="3B09B95E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DE000SLA1JU0</w:t>
            </w:r>
            <w:r w:rsidRPr="001973E5">
              <w:rPr>
                <w:lang w:val="en-GB"/>
              </w:rPr>
              <w:br/>
            </w:r>
            <w:r w:rsidR="004B0668" w:rsidRPr="00D3577D">
              <w:rPr>
                <w:lang w:val="en-GB"/>
              </w:rPr>
              <w:t>DE000SLA1JT2</w:t>
            </w:r>
          </w:p>
        </w:tc>
      </w:tr>
      <w:tr w:rsidR="00930571" w:rsidRPr="001973E5" w14:paraId="18387F9D" w14:textId="77777777" w:rsidTr="004B0668">
        <w:trPr>
          <w:trHeight w:val="20"/>
        </w:trPr>
        <w:tc>
          <w:tcPr>
            <w:tcW w:w="5569" w:type="dxa"/>
            <w:vAlign w:val="center"/>
          </w:tcPr>
          <w:p w14:paraId="10419EA2" w14:textId="4BD3B21A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Solactive US Large Cap Equal Weight Index (PR, GTR, NTR)</w:t>
            </w:r>
          </w:p>
        </w:tc>
        <w:tc>
          <w:tcPr>
            <w:tcW w:w="2427" w:type="dxa"/>
            <w:vAlign w:val="center"/>
          </w:tcPr>
          <w:p w14:paraId="0D7666FE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.SOLUSLEP</w:t>
            </w:r>
          </w:p>
          <w:p w14:paraId="1259DD4B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.SOLUSLEG</w:t>
            </w:r>
          </w:p>
          <w:p w14:paraId="406F6546" w14:textId="1C8B3082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.SOLUSLEN</w:t>
            </w:r>
          </w:p>
        </w:tc>
        <w:tc>
          <w:tcPr>
            <w:tcW w:w="1544" w:type="dxa"/>
            <w:vAlign w:val="center"/>
          </w:tcPr>
          <w:p w14:paraId="5E7328AE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DE000SLA3FM1</w:t>
            </w:r>
          </w:p>
          <w:p w14:paraId="02EC8AEF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DE000SLA3FN9</w:t>
            </w:r>
          </w:p>
          <w:p w14:paraId="0C8CFFA8" w14:textId="479A9FA2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-</w:t>
            </w:r>
          </w:p>
        </w:tc>
      </w:tr>
      <w:tr w:rsidR="00930571" w:rsidRPr="001973E5" w14:paraId="2BF53AA5" w14:textId="77777777" w:rsidTr="004B0668">
        <w:trPr>
          <w:trHeight w:val="20"/>
        </w:trPr>
        <w:tc>
          <w:tcPr>
            <w:tcW w:w="5569" w:type="dxa"/>
            <w:vAlign w:val="center"/>
          </w:tcPr>
          <w:p w14:paraId="4A846A9F" w14:textId="6103F150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Solactive US Large Cap Index (CA NTR)</w:t>
            </w:r>
          </w:p>
        </w:tc>
        <w:tc>
          <w:tcPr>
            <w:tcW w:w="2427" w:type="dxa"/>
            <w:vAlign w:val="center"/>
          </w:tcPr>
          <w:p w14:paraId="54FB45A1" w14:textId="79D70817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.SOLUSLCC</w:t>
            </w:r>
          </w:p>
        </w:tc>
        <w:tc>
          <w:tcPr>
            <w:tcW w:w="1544" w:type="dxa"/>
            <w:vAlign w:val="center"/>
          </w:tcPr>
          <w:p w14:paraId="46AB1298" w14:textId="5873DB5F" w:rsidR="00930571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DE000SLA9K10</w:t>
            </w:r>
          </w:p>
        </w:tc>
      </w:tr>
      <w:tr w:rsidR="003719A4" w:rsidRPr="001973E5" w14:paraId="7C9828CD" w14:textId="77777777" w:rsidTr="004B0668">
        <w:trPr>
          <w:trHeight w:val="20"/>
        </w:trPr>
        <w:tc>
          <w:tcPr>
            <w:tcW w:w="5569" w:type="dxa"/>
            <w:vAlign w:val="center"/>
          </w:tcPr>
          <w:p w14:paraId="1CC07602" w14:textId="54029B98" w:rsidR="003719A4" w:rsidRPr="001973E5" w:rsidRDefault="003719A4" w:rsidP="001973E5">
            <w:pPr>
              <w:tabs>
                <w:tab w:val="left" w:pos="900"/>
              </w:tabs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Solactive US Large Cap CAD Index (CA NTR, PR)</w:t>
            </w:r>
          </w:p>
        </w:tc>
        <w:tc>
          <w:tcPr>
            <w:tcW w:w="2427" w:type="dxa"/>
            <w:vAlign w:val="center"/>
          </w:tcPr>
          <w:p w14:paraId="252463B5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.SOUSLCCC</w:t>
            </w:r>
          </w:p>
          <w:p w14:paraId="1E7BF0A3" w14:textId="0011E3DC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.SOUSLCCP</w:t>
            </w:r>
          </w:p>
        </w:tc>
        <w:tc>
          <w:tcPr>
            <w:tcW w:w="1544" w:type="dxa"/>
            <w:vAlign w:val="center"/>
          </w:tcPr>
          <w:p w14:paraId="06803D4B" w14:textId="77777777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DE000SLA5AL9</w:t>
            </w:r>
          </w:p>
          <w:p w14:paraId="13CB62C0" w14:textId="00BC0C9D" w:rsidR="003719A4" w:rsidRPr="001973E5" w:rsidRDefault="003719A4" w:rsidP="001973E5">
            <w:pPr>
              <w:spacing w:before="0" w:after="0"/>
              <w:jc w:val="left"/>
              <w:rPr>
                <w:lang w:val="en-GB"/>
              </w:rPr>
            </w:pPr>
            <w:r w:rsidRPr="001973E5">
              <w:rPr>
                <w:lang w:val="en-GB"/>
              </w:rPr>
              <w:t>DE000SLA5BU8</w:t>
            </w:r>
          </w:p>
        </w:tc>
      </w:tr>
    </w:tbl>
    <w:p w14:paraId="29C752EF" w14:textId="77777777" w:rsidR="00F34653" w:rsidRDefault="00F34653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2BF4DE5A" w14:textId="2D121549" w:rsidR="007E47D4" w:rsidRDefault="00783C68" w:rsidP="00F568D6">
      <w:pPr>
        <w:spacing w:before="0" w:after="160" w:line="259" w:lineRule="auto"/>
        <w:jc w:val="left"/>
        <w:rPr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  <w:r w:rsidR="0082544A">
        <w:rPr>
          <w:lang w:val="en-GB"/>
        </w:rPr>
        <w:t>.</w:t>
      </w:r>
    </w:p>
    <w:p w14:paraId="2DBBCD8A" w14:textId="6542EE6A" w:rsidR="00670C6B" w:rsidRPr="00670C6B" w:rsidRDefault="00670C6B" w:rsidP="004B0668">
      <w:pPr>
        <w:spacing w:before="0" w:after="160" w:line="259" w:lineRule="auto"/>
        <w:rPr>
          <w:lang w:val="en-GB"/>
        </w:rPr>
      </w:pPr>
      <w:r w:rsidRPr="00670C6B">
        <w:rPr>
          <w:lang w:val="en-GB"/>
        </w:rPr>
        <w:t>Abnormally high</w:t>
      </w:r>
      <w:r w:rsidR="00D3577D">
        <w:rPr>
          <w:lang w:val="en-GB"/>
        </w:rPr>
        <w:t>-</w:t>
      </w:r>
      <w:r w:rsidRPr="00670C6B">
        <w:rPr>
          <w:lang w:val="en-GB"/>
        </w:rPr>
        <w:t>price</w:t>
      </w:r>
      <w:r w:rsidR="001B3FC8">
        <w:rPr>
          <w:lang w:val="en-GB"/>
        </w:rPr>
        <w:t>d</w:t>
      </w:r>
      <w:r w:rsidRPr="00670C6B">
        <w:rPr>
          <w:lang w:val="en-GB"/>
        </w:rPr>
        <w:t xml:space="preserve"> securities are difficult to be traded by ETF managers and institutional investors due to round lot and liquidity concerns. In recent years, fractional shares trading has </w:t>
      </w:r>
      <w:r>
        <w:rPr>
          <w:lang w:val="en-GB"/>
        </w:rPr>
        <w:t>inflated</w:t>
      </w:r>
      <w:r w:rsidRPr="00670C6B">
        <w:rPr>
          <w:lang w:val="en-GB"/>
        </w:rPr>
        <w:t xml:space="preserve"> the liquidity of a high</w:t>
      </w:r>
      <w:r w:rsidR="00D3577D">
        <w:rPr>
          <w:lang w:val="en-GB"/>
        </w:rPr>
        <w:t>-</w:t>
      </w:r>
      <w:r w:rsidRPr="00670C6B">
        <w:rPr>
          <w:lang w:val="en-GB"/>
        </w:rPr>
        <w:t>price</w:t>
      </w:r>
      <w:r w:rsidR="001B3FC8">
        <w:rPr>
          <w:lang w:val="en-GB"/>
        </w:rPr>
        <w:t>d</w:t>
      </w:r>
      <w:r w:rsidRPr="00670C6B">
        <w:rPr>
          <w:lang w:val="en-GB"/>
        </w:rPr>
        <w:t xml:space="preserve"> security, making such a security eligible for inclusion in the affected indices based on </w:t>
      </w:r>
      <w:r w:rsidR="00F06065">
        <w:rPr>
          <w:lang w:val="en-GB"/>
        </w:rPr>
        <w:t xml:space="preserve">the </w:t>
      </w:r>
      <w:r w:rsidRPr="00670C6B">
        <w:rPr>
          <w:lang w:val="en-GB"/>
        </w:rPr>
        <w:t xml:space="preserve">current </w:t>
      </w:r>
      <w:r w:rsidR="00D3577D">
        <w:rPr>
          <w:lang w:val="en-GB"/>
        </w:rPr>
        <w:t>liquidity</w:t>
      </w:r>
      <w:r w:rsidRPr="00670C6B">
        <w:rPr>
          <w:lang w:val="en-GB"/>
        </w:rPr>
        <w:t xml:space="preserve"> criteria</w:t>
      </w:r>
      <w:r w:rsidR="00D3577D">
        <w:rPr>
          <w:lang w:val="en-GB"/>
        </w:rPr>
        <w:t xml:space="preserve"> of the Indices</w:t>
      </w:r>
      <w:r w:rsidRPr="00670C6B">
        <w:rPr>
          <w:lang w:val="en-GB"/>
        </w:rPr>
        <w:t xml:space="preserve">. While accessible to retail investors, the liquidity from fractional shares trading </w:t>
      </w:r>
      <w:r w:rsidR="00D3577D">
        <w:rPr>
          <w:lang w:val="en-GB"/>
        </w:rPr>
        <w:t>may be</w:t>
      </w:r>
      <w:r w:rsidRPr="00670C6B">
        <w:rPr>
          <w:lang w:val="en-GB"/>
        </w:rPr>
        <w:t xml:space="preserve"> inaccessible to institutional investors who must track the index turnover of such a high</w:t>
      </w:r>
      <w:r w:rsidR="00D3577D">
        <w:rPr>
          <w:lang w:val="en-GB"/>
        </w:rPr>
        <w:t>-</w:t>
      </w:r>
      <w:r w:rsidRPr="00670C6B">
        <w:rPr>
          <w:lang w:val="en-GB"/>
        </w:rPr>
        <w:t>price</w:t>
      </w:r>
      <w:r w:rsidR="001B3FC8">
        <w:rPr>
          <w:lang w:val="en-GB"/>
        </w:rPr>
        <w:t>d</w:t>
      </w:r>
      <w:r w:rsidRPr="00670C6B">
        <w:rPr>
          <w:lang w:val="en-GB"/>
        </w:rPr>
        <w:t xml:space="preserve"> security in whole share units. The proposed changes aim to make the affected indices more investable by excluding very high</w:t>
      </w:r>
      <w:r w:rsidR="00D3577D">
        <w:rPr>
          <w:lang w:val="en-GB"/>
        </w:rPr>
        <w:t>-</w:t>
      </w:r>
      <w:r w:rsidRPr="00670C6B">
        <w:rPr>
          <w:lang w:val="en-GB"/>
        </w:rPr>
        <w:t>price</w:t>
      </w:r>
      <w:r w:rsidR="001B3FC8">
        <w:rPr>
          <w:lang w:val="en-GB"/>
        </w:rPr>
        <w:t>d</w:t>
      </w:r>
      <w:r w:rsidRPr="00670C6B">
        <w:rPr>
          <w:lang w:val="en-GB"/>
        </w:rPr>
        <w:t xml:space="preserve"> securities as outliers to the universe of </w:t>
      </w:r>
      <w:r w:rsidR="00D3577D">
        <w:rPr>
          <w:lang w:val="en-GB"/>
        </w:rPr>
        <w:t>the Indices.</w:t>
      </w:r>
      <w:r w:rsidR="001B3FC8">
        <w:rPr>
          <w:lang w:val="en-GB"/>
        </w:rPr>
        <w:t xml:space="preserve"> If successful, the changes will take effect for the May-2023 rebalance of the Indices.</w:t>
      </w:r>
    </w:p>
    <w:p w14:paraId="2A079CAD" w14:textId="0FBB4D45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862BCD" w:rsidRPr="002141CF">
        <w:rPr>
          <w:b/>
          <w:bCs/>
          <w:sz w:val="28"/>
          <w:szCs w:val="28"/>
          <w:u w:val="single"/>
          <w:lang w:val="en-US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0A86EDBE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862BCD">
        <w:rPr>
          <w:lang w:val="en-GB"/>
        </w:rPr>
        <w:t>s</w:t>
      </w:r>
      <w:r>
        <w:rPr>
          <w:lang w:val="en-GB"/>
        </w:rPr>
        <w:t xml:space="preserve"> </w:t>
      </w:r>
      <w:r w:rsidR="00862BCD">
        <w:rPr>
          <w:lang w:val="en-US"/>
        </w:rPr>
        <w:t>are</w:t>
      </w:r>
      <w:r>
        <w:rPr>
          <w:lang w:val="en-GB"/>
        </w:rPr>
        <w:t xml:space="preserve"> proposed in the following point</w:t>
      </w:r>
      <w:r w:rsidR="00862BCD">
        <w:rPr>
          <w:lang w:val="en-GB"/>
        </w:rPr>
        <w:t>s</w:t>
      </w:r>
      <w:r w:rsidR="00A64163" w:rsidRPr="0026131F" w:rsidDel="00C77B4F">
        <w:rPr>
          <w:lang w:val="en-GB"/>
        </w:rPr>
        <w:t xml:space="preserve"> </w:t>
      </w:r>
      <w:r w:rsidR="007074DD">
        <w:rPr>
          <w:lang w:val="en-GB"/>
        </w:rPr>
        <w:t xml:space="preserve">of the Index Guideline </w:t>
      </w:r>
      <w:r>
        <w:rPr>
          <w:lang w:val="en-GB"/>
        </w:rPr>
        <w:t>(ordered in accordance with the numbering of the affected sections)</w:t>
      </w:r>
      <w:r w:rsidR="007074DD">
        <w:rPr>
          <w:lang w:val="en-GB"/>
        </w:rPr>
        <w:t>.</w:t>
      </w:r>
    </w:p>
    <w:p w14:paraId="56FAAC5E" w14:textId="0E941918" w:rsidR="00862BCD" w:rsidRDefault="007074DD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To </w:t>
      </w:r>
      <w:r w:rsidR="000019EE">
        <w:rPr>
          <w:lang w:val="en-GB"/>
        </w:rPr>
        <w:t xml:space="preserve">exclude </w:t>
      </w:r>
      <w:r w:rsidR="001B3FC8">
        <w:rPr>
          <w:lang w:val="en-GB"/>
        </w:rPr>
        <w:t>very high-priced</w:t>
      </w:r>
      <w:r w:rsidR="000019EE">
        <w:rPr>
          <w:lang w:val="en-GB"/>
        </w:rPr>
        <w:t xml:space="preserve"> securities</w:t>
      </w:r>
      <w:r w:rsidR="00862BCD" w:rsidRPr="002141CF">
        <w:rPr>
          <w:lang w:val="en-GB"/>
        </w:rPr>
        <w:t xml:space="preserve">, the </w:t>
      </w:r>
      <w:r w:rsidR="00DE3005" w:rsidRPr="002141CF">
        <w:rPr>
          <w:lang w:val="en-GB"/>
        </w:rPr>
        <w:t>following change will apply to the corresponding section:</w:t>
      </w:r>
    </w:p>
    <w:p w14:paraId="63763C8E" w14:textId="77777777" w:rsidR="00CD57EE" w:rsidRPr="002141CF" w:rsidRDefault="00CD57EE" w:rsidP="0026131F">
      <w:pPr>
        <w:spacing w:before="0" w:after="160" w:line="259" w:lineRule="auto"/>
        <w:rPr>
          <w:lang w:val="en-GB"/>
        </w:rPr>
      </w:pPr>
    </w:p>
    <w:p w14:paraId="7B39337D" w14:textId="3CED055C" w:rsidR="00DE3005" w:rsidRPr="002141CF" w:rsidRDefault="00DE3005" w:rsidP="0026131F">
      <w:pPr>
        <w:spacing w:before="0" w:after="160" w:line="259" w:lineRule="auto"/>
        <w:rPr>
          <w:u w:val="single"/>
          <w:lang w:val="en-GB"/>
        </w:rPr>
      </w:pPr>
      <w:r w:rsidRPr="002141CF">
        <w:rPr>
          <w:u w:val="single"/>
          <w:lang w:val="en-GB"/>
        </w:rPr>
        <w:t xml:space="preserve">Section </w:t>
      </w:r>
      <w:r w:rsidR="000019EE">
        <w:rPr>
          <w:u w:val="single"/>
          <w:lang w:val="en-GB"/>
        </w:rPr>
        <w:t>4</w:t>
      </w:r>
    </w:p>
    <w:p w14:paraId="553D5651" w14:textId="62935ECC" w:rsidR="000019EE" w:rsidRDefault="000019EE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An additional criterion is added in filtering securities to form the index universe</w:t>
      </w:r>
      <w:r w:rsidR="001B3FC8">
        <w:rPr>
          <w:lang w:val="en-GB"/>
        </w:rPr>
        <w:t>:</w:t>
      </w:r>
    </w:p>
    <w:p w14:paraId="4881FEBD" w14:textId="79A98B61" w:rsidR="000019EE" w:rsidRPr="000019EE" w:rsidRDefault="000019EE" w:rsidP="0026131F">
      <w:pPr>
        <w:spacing w:before="0" w:after="160" w:line="259" w:lineRule="auto"/>
        <w:rPr>
          <w:i/>
          <w:iCs/>
          <w:lang w:val="en-GB"/>
        </w:rPr>
      </w:pPr>
      <w:r w:rsidRPr="004B0668">
        <w:rPr>
          <w:i/>
          <w:iCs/>
          <w:lang w:val="en-GB"/>
        </w:rPr>
        <w:t>“</w:t>
      </w:r>
      <w:r w:rsidR="000D7CE9">
        <w:rPr>
          <w:i/>
          <w:iCs/>
          <w:lang w:val="en-GB"/>
        </w:rPr>
        <w:t xml:space="preserve">9.  </w:t>
      </w:r>
      <w:r w:rsidRPr="004B0668">
        <w:rPr>
          <w:i/>
          <w:iCs/>
          <w:lang w:val="en-GB"/>
        </w:rPr>
        <w:t>The security must have a closing price of less than 20,000 USD on the Selection Day.”</w:t>
      </w:r>
    </w:p>
    <w:p w14:paraId="14B2AF3F" w14:textId="77777777" w:rsidR="00E01BAE" w:rsidRPr="00906A38" w:rsidRDefault="00E01BAE" w:rsidP="00906A38">
      <w:pPr>
        <w:spacing w:before="0" w:after="160" w:line="259" w:lineRule="auto"/>
        <w:rPr>
          <w:i/>
          <w:iCs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2AA0DC6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E45951">
        <w:rPr>
          <w:lang w:val="en-US"/>
        </w:rPr>
        <w:t>Indices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E45951">
        <w:rPr>
          <w:lang w:val="en-US"/>
        </w:rPr>
        <w:t>the</w:t>
      </w:r>
      <w:r w:rsidR="00E45951" w:rsidRPr="00C04273">
        <w:rPr>
          <w:lang w:val="en-US"/>
        </w:rPr>
        <w:t xml:space="preserve"> </w:t>
      </w:r>
      <w:r w:rsidR="00E45951">
        <w:rPr>
          <w:lang w:val="en-US"/>
        </w:rPr>
        <w:t>I</w:t>
      </w:r>
      <w:r w:rsidR="00E45951" w:rsidRPr="00C04273">
        <w:rPr>
          <w:lang w:val="en-US"/>
        </w:rPr>
        <w:t>ndices</w:t>
      </w:r>
      <w:r w:rsidRPr="00C04273">
        <w:rPr>
          <w:lang w:val="en-US"/>
        </w:rPr>
        <w:t xml:space="preserve">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CA172F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7788073A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E45951">
        <w:rPr>
          <w:i/>
          <w:lang w:val="en-US"/>
        </w:rPr>
        <w:t>2023-0</w:t>
      </w:r>
      <w:r w:rsidR="0077337A">
        <w:rPr>
          <w:i/>
          <w:lang w:val="en-US"/>
        </w:rPr>
        <w:t>2</w:t>
      </w:r>
      <w:r w:rsidR="00E45951">
        <w:rPr>
          <w:i/>
          <w:lang w:val="en-US"/>
        </w:rPr>
        <w:t>-</w:t>
      </w:r>
      <w:r w:rsidR="001B3FC8">
        <w:rPr>
          <w:i/>
          <w:lang w:val="en-US"/>
        </w:rPr>
        <w:t>14</w:t>
      </w:r>
      <w:r w:rsidR="001C4A17">
        <w:rPr>
          <w:i/>
          <w:lang w:val="en-US"/>
        </w:rPr>
        <w:t>.</w:t>
      </w:r>
    </w:p>
    <w:p w14:paraId="741A56A5" w14:textId="5A587FE1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2141CF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1B76F0">
        <w:rPr>
          <w:i/>
          <w:lang w:val="en-US"/>
        </w:rPr>
        <w:t>2023-0</w:t>
      </w:r>
      <w:r w:rsidR="0077337A">
        <w:rPr>
          <w:i/>
          <w:lang w:val="en-US"/>
        </w:rPr>
        <w:t>2-</w:t>
      </w:r>
      <w:r w:rsidR="001B3FC8">
        <w:rPr>
          <w:i/>
          <w:lang w:val="en-US"/>
        </w:rPr>
        <w:t>21</w:t>
      </w:r>
      <w:r w:rsidR="004819FA" w:rsidRPr="002141CF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76EED5AA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1B76F0" w:rsidRPr="002141CF">
        <w:rPr>
          <w:b/>
          <w:bCs/>
          <w:lang w:val="en-US"/>
        </w:rPr>
        <w:t xml:space="preserve">| </w:t>
      </w:r>
      <w:r w:rsidR="001900CB" w:rsidRPr="0077337A">
        <w:rPr>
          <w:b/>
          <w:bCs/>
          <w:lang w:val="en-US"/>
        </w:rPr>
        <w:t>Solactive U</w:t>
      </w:r>
      <w:r w:rsidR="001900CB">
        <w:rPr>
          <w:b/>
          <w:bCs/>
          <w:lang w:val="en-US"/>
        </w:rPr>
        <w:t>S</w:t>
      </w:r>
      <w:r w:rsidR="001900CB" w:rsidRPr="0077337A">
        <w:rPr>
          <w:b/>
          <w:bCs/>
          <w:lang w:val="en-US"/>
        </w:rPr>
        <w:t xml:space="preserve"> Benchmark Index Series</w:t>
      </w:r>
      <w:r w:rsidR="001900CB" w:rsidRPr="0077337A" w:rsidDel="0077337A">
        <w:rPr>
          <w:b/>
          <w:bCs/>
          <w:lang w:val="en-US"/>
        </w:rPr>
        <w:t xml:space="preserve"> </w:t>
      </w:r>
      <w:r w:rsidR="001B76F0" w:rsidRPr="002141CF">
        <w:rPr>
          <w:b/>
          <w:bCs/>
          <w:lang w:val="en-US"/>
        </w:rPr>
        <w:t xml:space="preserve">| </w:t>
      </w:r>
      <w:r w:rsidR="001B3FC8">
        <w:rPr>
          <w:b/>
          <w:bCs/>
          <w:lang w:val="en-US"/>
        </w:rPr>
        <w:t>February</w:t>
      </w:r>
      <w:r w:rsidR="006553B6">
        <w:rPr>
          <w:b/>
          <w:bCs/>
          <w:lang w:val="en-US"/>
        </w:rPr>
        <w:t xml:space="preserve"> </w:t>
      </w:r>
      <w:r w:rsidR="0077337A">
        <w:rPr>
          <w:b/>
          <w:bCs/>
          <w:lang w:val="en-US"/>
        </w:rPr>
        <w:t>2023</w:t>
      </w:r>
      <w:r w:rsidR="0026131F" w:rsidRPr="002141CF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2141CF" w:rsidRDefault="003D0D25" w:rsidP="003D0D25">
      <w:pPr>
        <w:spacing w:after="0"/>
        <w:ind w:left="1416" w:firstLine="708"/>
        <w:rPr>
          <w:lang w:val="en-US"/>
        </w:rPr>
      </w:pPr>
      <w:r w:rsidRPr="002141CF">
        <w:rPr>
          <w:lang w:val="en-US"/>
        </w:rPr>
        <w:t>Germany</w:t>
      </w:r>
    </w:p>
    <w:p w14:paraId="752A804F" w14:textId="7A894BF5" w:rsidR="00753C1C" w:rsidRPr="002141CF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2141CF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6"/>
      <w:footerReference w:type="default" r:id="rId17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348472-3556-4263-AC6B-8E0E24AD9469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2AC0E6F9-528F-4C6B-8B86-4170BEB34C43}"/>
    <w:embedBold r:id="rId3" w:fontKey="{2525A4D8-40DF-41B5-8082-422D0B47706A}"/>
    <w:embedItalic r:id="rId4" w:fontKey="{BB3548F0-8EE6-493F-A28F-859263F5C4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D6906FF-835D-4314-A6DA-AE99E153C73A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14BCE5C1-621A-4AB1-A0FD-20CA56BBB543}"/>
    <w:embedBold r:id="rId7" w:fontKey="{81CEFA43-D1D1-43AA-A97C-349E11D6FC2E}"/>
  </w:font>
  <w:font w:name="Whitney Medium">
    <w:altName w:val="Arial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B92DB9C-619F-44B6-89E7-EF58416B7B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653704C9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34653">
          <w:rPr>
            <w:lang w:val="en-US"/>
          </w:rPr>
          <w:t>Market Consultation | Solactive US Benchmark Index Series | Guideline change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8674773">
    <w:abstractNumId w:val="5"/>
  </w:num>
  <w:num w:numId="2" w16cid:durableId="1456170730">
    <w:abstractNumId w:val="6"/>
  </w:num>
  <w:num w:numId="3" w16cid:durableId="1669559346">
    <w:abstractNumId w:val="15"/>
  </w:num>
  <w:num w:numId="4" w16cid:durableId="1073889614">
    <w:abstractNumId w:val="19"/>
  </w:num>
  <w:num w:numId="5" w16cid:durableId="1879317823">
    <w:abstractNumId w:val="14"/>
  </w:num>
  <w:num w:numId="6" w16cid:durableId="199557729">
    <w:abstractNumId w:val="7"/>
  </w:num>
  <w:num w:numId="7" w16cid:durableId="1666859352">
    <w:abstractNumId w:val="18"/>
  </w:num>
  <w:num w:numId="8" w16cid:durableId="1742825764">
    <w:abstractNumId w:val="3"/>
  </w:num>
  <w:num w:numId="9" w16cid:durableId="859857630">
    <w:abstractNumId w:val="12"/>
  </w:num>
  <w:num w:numId="10" w16cid:durableId="1318804391">
    <w:abstractNumId w:val="11"/>
  </w:num>
  <w:num w:numId="11" w16cid:durableId="1971126769">
    <w:abstractNumId w:val="2"/>
  </w:num>
  <w:num w:numId="12" w16cid:durableId="1374963652">
    <w:abstractNumId w:val="1"/>
  </w:num>
  <w:num w:numId="13" w16cid:durableId="645670036">
    <w:abstractNumId w:val="13"/>
  </w:num>
  <w:num w:numId="14" w16cid:durableId="927007157">
    <w:abstractNumId w:val="9"/>
  </w:num>
  <w:num w:numId="15" w16cid:durableId="520900667">
    <w:abstractNumId w:val="4"/>
  </w:num>
  <w:num w:numId="16" w16cid:durableId="1432163025">
    <w:abstractNumId w:val="10"/>
  </w:num>
  <w:num w:numId="17" w16cid:durableId="571307403">
    <w:abstractNumId w:val="20"/>
  </w:num>
  <w:num w:numId="18" w16cid:durableId="1187989900">
    <w:abstractNumId w:val="8"/>
  </w:num>
  <w:num w:numId="19" w16cid:durableId="815729963">
    <w:abstractNumId w:val="16"/>
  </w:num>
  <w:num w:numId="20" w16cid:durableId="568812473">
    <w:abstractNumId w:val="17"/>
  </w:num>
  <w:num w:numId="21" w16cid:durableId="2142381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19EE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56860"/>
    <w:rsid w:val="000658A8"/>
    <w:rsid w:val="00066898"/>
    <w:rsid w:val="00077C61"/>
    <w:rsid w:val="00080949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D7CE9"/>
    <w:rsid w:val="000E3D03"/>
    <w:rsid w:val="000F2800"/>
    <w:rsid w:val="000F3DF3"/>
    <w:rsid w:val="000F458D"/>
    <w:rsid w:val="0010358C"/>
    <w:rsid w:val="00110CA0"/>
    <w:rsid w:val="00113086"/>
    <w:rsid w:val="00123CB9"/>
    <w:rsid w:val="00124B71"/>
    <w:rsid w:val="00133435"/>
    <w:rsid w:val="00135E34"/>
    <w:rsid w:val="00151DD8"/>
    <w:rsid w:val="00151F1E"/>
    <w:rsid w:val="00185395"/>
    <w:rsid w:val="001900CB"/>
    <w:rsid w:val="001913FD"/>
    <w:rsid w:val="00192032"/>
    <w:rsid w:val="0019287D"/>
    <w:rsid w:val="00196409"/>
    <w:rsid w:val="00196791"/>
    <w:rsid w:val="001973E5"/>
    <w:rsid w:val="001B2DBE"/>
    <w:rsid w:val="001B3FC8"/>
    <w:rsid w:val="001B76F0"/>
    <w:rsid w:val="001C4A17"/>
    <w:rsid w:val="001C6BC7"/>
    <w:rsid w:val="001C7018"/>
    <w:rsid w:val="001D0ECC"/>
    <w:rsid w:val="001D6895"/>
    <w:rsid w:val="001E7A70"/>
    <w:rsid w:val="001F1AAE"/>
    <w:rsid w:val="001F7F10"/>
    <w:rsid w:val="002127D7"/>
    <w:rsid w:val="002141CF"/>
    <w:rsid w:val="0021530E"/>
    <w:rsid w:val="00216B32"/>
    <w:rsid w:val="00222801"/>
    <w:rsid w:val="00226816"/>
    <w:rsid w:val="00233B75"/>
    <w:rsid w:val="0023503C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92903"/>
    <w:rsid w:val="002A32BB"/>
    <w:rsid w:val="002B2473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53FC3"/>
    <w:rsid w:val="00366769"/>
    <w:rsid w:val="003719A4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5192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0668"/>
    <w:rsid w:val="004B4769"/>
    <w:rsid w:val="004B6674"/>
    <w:rsid w:val="004B6903"/>
    <w:rsid w:val="004C2B70"/>
    <w:rsid w:val="004C688A"/>
    <w:rsid w:val="004D16D5"/>
    <w:rsid w:val="004D6535"/>
    <w:rsid w:val="004E164D"/>
    <w:rsid w:val="00500D79"/>
    <w:rsid w:val="005055F5"/>
    <w:rsid w:val="00507DB2"/>
    <w:rsid w:val="00510A9D"/>
    <w:rsid w:val="00532F22"/>
    <w:rsid w:val="00534514"/>
    <w:rsid w:val="005457DD"/>
    <w:rsid w:val="005560A1"/>
    <w:rsid w:val="00560161"/>
    <w:rsid w:val="00572562"/>
    <w:rsid w:val="005818C8"/>
    <w:rsid w:val="00583C2C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C6F73"/>
    <w:rsid w:val="005E2B50"/>
    <w:rsid w:val="005E61B4"/>
    <w:rsid w:val="006105C6"/>
    <w:rsid w:val="00621EE1"/>
    <w:rsid w:val="00626C9C"/>
    <w:rsid w:val="0063017D"/>
    <w:rsid w:val="00631951"/>
    <w:rsid w:val="00632135"/>
    <w:rsid w:val="0063592D"/>
    <w:rsid w:val="00647E2E"/>
    <w:rsid w:val="00650433"/>
    <w:rsid w:val="00651886"/>
    <w:rsid w:val="00651D91"/>
    <w:rsid w:val="006553B6"/>
    <w:rsid w:val="00656E53"/>
    <w:rsid w:val="0065775A"/>
    <w:rsid w:val="00670C6B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E0FB3"/>
    <w:rsid w:val="006F11E8"/>
    <w:rsid w:val="006F1D5D"/>
    <w:rsid w:val="006F54CB"/>
    <w:rsid w:val="007063F4"/>
    <w:rsid w:val="007074DD"/>
    <w:rsid w:val="0073537F"/>
    <w:rsid w:val="007357DE"/>
    <w:rsid w:val="00736C70"/>
    <w:rsid w:val="007372FA"/>
    <w:rsid w:val="007458EC"/>
    <w:rsid w:val="00746268"/>
    <w:rsid w:val="00750A5D"/>
    <w:rsid w:val="00753112"/>
    <w:rsid w:val="00753C1C"/>
    <w:rsid w:val="00764694"/>
    <w:rsid w:val="00770E36"/>
    <w:rsid w:val="0077337A"/>
    <w:rsid w:val="00781C57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DB6"/>
    <w:rsid w:val="00803EE8"/>
    <w:rsid w:val="00810B5C"/>
    <w:rsid w:val="00823F62"/>
    <w:rsid w:val="0082544A"/>
    <w:rsid w:val="00826CDB"/>
    <w:rsid w:val="00830616"/>
    <w:rsid w:val="008345B7"/>
    <w:rsid w:val="008501D0"/>
    <w:rsid w:val="00851638"/>
    <w:rsid w:val="00852511"/>
    <w:rsid w:val="00862BCD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3CC2"/>
    <w:rsid w:val="008F59D5"/>
    <w:rsid w:val="00906A38"/>
    <w:rsid w:val="009133CD"/>
    <w:rsid w:val="0092193A"/>
    <w:rsid w:val="009224D5"/>
    <w:rsid w:val="00927618"/>
    <w:rsid w:val="00930571"/>
    <w:rsid w:val="0093363F"/>
    <w:rsid w:val="009369D6"/>
    <w:rsid w:val="0094043A"/>
    <w:rsid w:val="00960D2A"/>
    <w:rsid w:val="00961F3B"/>
    <w:rsid w:val="00970C26"/>
    <w:rsid w:val="0097651D"/>
    <w:rsid w:val="009776B4"/>
    <w:rsid w:val="00983D90"/>
    <w:rsid w:val="0099430F"/>
    <w:rsid w:val="00995D4A"/>
    <w:rsid w:val="009974E3"/>
    <w:rsid w:val="009A1E21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273C4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0379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75EBC"/>
    <w:rsid w:val="00B84D86"/>
    <w:rsid w:val="00B915B6"/>
    <w:rsid w:val="00BA23D9"/>
    <w:rsid w:val="00BA3FA5"/>
    <w:rsid w:val="00BB1CFA"/>
    <w:rsid w:val="00BB7BCB"/>
    <w:rsid w:val="00BD4042"/>
    <w:rsid w:val="00BD6BDC"/>
    <w:rsid w:val="00BE7D66"/>
    <w:rsid w:val="00C0189C"/>
    <w:rsid w:val="00C03D31"/>
    <w:rsid w:val="00C04273"/>
    <w:rsid w:val="00C22CA0"/>
    <w:rsid w:val="00C24716"/>
    <w:rsid w:val="00C30238"/>
    <w:rsid w:val="00C30F5C"/>
    <w:rsid w:val="00C32515"/>
    <w:rsid w:val="00C4722A"/>
    <w:rsid w:val="00C65F0E"/>
    <w:rsid w:val="00C676D8"/>
    <w:rsid w:val="00C750BC"/>
    <w:rsid w:val="00C77505"/>
    <w:rsid w:val="00C77B4F"/>
    <w:rsid w:val="00CA172F"/>
    <w:rsid w:val="00CA4471"/>
    <w:rsid w:val="00CA595E"/>
    <w:rsid w:val="00CA69AE"/>
    <w:rsid w:val="00CC4A71"/>
    <w:rsid w:val="00CD41EB"/>
    <w:rsid w:val="00CD57EE"/>
    <w:rsid w:val="00CD7B75"/>
    <w:rsid w:val="00CF29CC"/>
    <w:rsid w:val="00D06709"/>
    <w:rsid w:val="00D06800"/>
    <w:rsid w:val="00D06D8B"/>
    <w:rsid w:val="00D30535"/>
    <w:rsid w:val="00D3577D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1077"/>
    <w:rsid w:val="00DE21FE"/>
    <w:rsid w:val="00DE29BE"/>
    <w:rsid w:val="00DE3005"/>
    <w:rsid w:val="00DE7F6A"/>
    <w:rsid w:val="00DF1D65"/>
    <w:rsid w:val="00DF306F"/>
    <w:rsid w:val="00DF5526"/>
    <w:rsid w:val="00E01BAE"/>
    <w:rsid w:val="00E05994"/>
    <w:rsid w:val="00E06A59"/>
    <w:rsid w:val="00E072E6"/>
    <w:rsid w:val="00E22C03"/>
    <w:rsid w:val="00E35FA1"/>
    <w:rsid w:val="00E43678"/>
    <w:rsid w:val="00E45951"/>
    <w:rsid w:val="00E530BC"/>
    <w:rsid w:val="00E55AA7"/>
    <w:rsid w:val="00E738F4"/>
    <w:rsid w:val="00E75C53"/>
    <w:rsid w:val="00E8102A"/>
    <w:rsid w:val="00E85D18"/>
    <w:rsid w:val="00E87285"/>
    <w:rsid w:val="00E9274E"/>
    <w:rsid w:val="00EA23FA"/>
    <w:rsid w:val="00EA4B8A"/>
    <w:rsid w:val="00EB0715"/>
    <w:rsid w:val="00EC2BCA"/>
    <w:rsid w:val="00ED0760"/>
    <w:rsid w:val="00EE22E3"/>
    <w:rsid w:val="00EF4A17"/>
    <w:rsid w:val="00F0488B"/>
    <w:rsid w:val="00F06065"/>
    <w:rsid w:val="00F1145C"/>
    <w:rsid w:val="00F25F45"/>
    <w:rsid w:val="00F34653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A7FF7"/>
    <w:rsid w:val="00FB1C0D"/>
    <w:rsid w:val="00FB5FF7"/>
    <w:rsid w:val="00FB75BF"/>
    <w:rsid w:val="00FC4A10"/>
    <w:rsid w:val="00FD7F58"/>
    <w:rsid w:val="00FE044A"/>
    <w:rsid w:val="00FE3959"/>
    <w:rsid w:val="00FF3940"/>
    <w:rsid w:val="00FF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6A38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292903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character" w:customStyle="1" w:styleId="WhitneyBodChar">
    <w:name w:val="Whitney Bod Char"/>
    <w:basedOn w:val="DefaultParagraphFont"/>
    <w:link w:val="WhitneyBod"/>
    <w:locked/>
    <w:rsid w:val="00CA69AE"/>
    <w:rPr>
      <w:rFonts w:ascii="Whitney Medium" w:eastAsia="Times New Roman" w:hAnsi="Whitney Medium" w:cs="Arial"/>
      <w:sz w:val="18"/>
      <w:szCs w:val="18"/>
      <w:lang w:val="en-GB" w:eastAsia="de-DE"/>
    </w:rPr>
  </w:style>
  <w:style w:type="paragraph" w:customStyle="1" w:styleId="WhitneyBod">
    <w:name w:val="Whitney Bod"/>
    <w:basedOn w:val="Normal"/>
    <w:link w:val="WhitneyBodChar"/>
    <w:qFormat/>
    <w:rsid w:val="00CA69AE"/>
    <w:pPr>
      <w:adjustRightInd w:val="0"/>
      <w:spacing w:before="0" w:after="240"/>
      <w:ind w:right="490"/>
    </w:pPr>
    <w:rPr>
      <w:rFonts w:ascii="Whitney Medium" w:hAnsi="Whitney Medium" w:cs="Arial"/>
      <w:sz w:val="18"/>
      <w:szCs w:val="18"/>
      <w:lang w:val="en-GB"/>
    </w:rPr>
  </w:style>
  <w:style w:type="character" w:customStyle="1" w:styleId="WhitneyTableChar">
    <w:name w:val="Whitney Table Char"/>
    <w:basedOn w:val="WhitneyBodChar"/>
    <w:link w:val="WhitneyTable"/>
    <w:locked/>
    <w:rsid w:val="00E01BAE"/>
    <w:rPr>
      <w:rFonts w:ascii="Whitney Medium" w:eastAsia="Times New Roman" w:hAnsi="Whitney Medium" w:cs="Arial"/>
      <w:sz w:val="18"/>
      <w:szCs w:val="18"/>
      <w:lang w:val="en-GB" w:eastAsia="de-DE"/>
    </w:rPr>
  </w:style>
  <w:style w:type="paragraph" w:customStyle="1" w:styleId="WhitneyTable">
    <w:name w:val="Whitney Table"/>
    <w:basedOn w:val="WhitneyBod"/>
    <w:link w:val="WhitneyTableChar"/>
    <w:qFormat/>
    <w:rsid w:val="00E01BAE"/>
    <w:pPr>
      <w:spacing w:after="0"/>
    </w:pPr>
  </w:style>
  <w:style w:type="table" w:styleId="TableGrid">
    <w:name w:val="Table Grid"/>
    <w:basedOn w:val="TableNormal"/>
    <w:rsid w:val="00E01BAE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10" Type="http://schemas.openxmlformats.org/officeDocument/2006/relationships/image" Target="media/image6.sv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Whitney Medium">
    <w:altName w:val="Arial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556</Words>
  <Characters>3173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| Solactive US Benchmark Index Series| Guideline change</vt:lpstr>
      <vt:lpstr>Index Calculation Guideline</vt:lpstr>
    </vt:vector>
  </TitlesOfParts>
  <Company/>
  <LinksUpToDate>false</LinksUpToDate>
  <CharactersWithSpaces>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| Solactive US Benchmark Index Series | Guideline change</dc:title>
  <dc:subject>Calculation Documents &amp; Methodologies</dc:subject>
  <dc:creator>Solactive AG</dc:creator>
  <cp:keywords/>
  <dc:description/>
  <cp:lastModifiedBy>Thach, Khoa</cp:lastModifiedBy>
  <cp:revision>4</cp:revision>
  <cp:lastPrinted>2023-01-29T21:46:00Z</cp:lastPrinted>
  <dcterms:created xsi:type="dcterms:W3CDTF">2023-01-29T21:46:00Z</dcterms:created>
  <dcterms:modified xsi:type="dcterms:W3CDTF">2023-01-29T21:52:00Z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