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A3E661A" w:rsidR="0092193A" w:rsidRPr="0097651D" w:rsidRDefault="00292903" w:rsidP="0092193A">
              <w:pPr>
                <w:pStyle w:val="Title"/>
                <w:rPr>
                  <w:lang w:val="en-US"/>
                </w:rPr>
              </w:pPr>
              <w:r w:rsidRPr="00D76406">
                <w:rPr>
                  <w:color w:val="FFFFFF" w:themeColor="background1"/>
                  <w:lang w:val="en-US"/>
                </w:rPr>
                <w:t>Market Consultation</w:t>
              </w:r>
              <w:r w:rsidR="00C30F5C">
                <w:rPr>
                  <w:color w:val="FFFFFF" w:themeColor="background1"/>
                  <w:lang w:val="en-US"/>
                </w:rPr>
                <w:t xml:space="preserve"> | </w:t>
              </w:r>
              <w:r>
                <w:rPr>
                  <w:color w:val="FFFFFF" w:themeColor="background1"/>
                  <w:lang w:val="en-US"/>
                </w:rPr>
                <w:t>RAFI MULTI-FACTOR INDEX SERIES</w:t>
              </w:r>
              <w:r w:rsidR="00C30F5C">
                <w:rPr>
                  <w:color w:val="FFFFFF" w:themeColor="background1"/>
                  <w:lang w:val="en-US"/>
                </w:rPr>
                <w:t xml:space="preserve"> |</w:t>
              </w:r>
              <w:r>
                <w:rPr>
                  <w:color w:val="FFFFFF" w:themeColor="background1"/>
                  <w:lang w:val="en-US"/>
                </w:rPr>
                <w:t xml:space="preserve"> </w:t>
              </w:r>
              <w:r w:rsidR="00647E2E">
                <w:rPr>
                  <w:color w:val="FFFFFF" w:themeColor="background1"/>
                  <w:lang w:val="en-US"/>
                </w:rPr>
                <w:t>Guideline change</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9BC9040" w:rsidR="00466905" w:rsidRPr="00D902A1" w:rsidRDefault="0094043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2-23T00:00:00Z">
                                      <w:dateFormat w:val="dd MMMM yyyy"/>
                                      <w:lid w:val="en-GB"/>
                                      <w:storeMappedDataAs w:val="dateTime"/>
                                      <w:calendar w:val="gregorian"/>
                                    </w:date>
                                  </w:sdtPr>
                                  <w:sdtEndPr/>
                                  <w:sdtContent>
                                    <w:r w:rsidR="00647E2E">
                                      <w:rPr>
                                        <w:color w:val="FFFFFF" w:themeColor="background1"/>
                                        <w:sz w:val="26"/>
                                        <w:szCs w:val="26"/>
                                        <w:lang w:val="en-GB"/>
                                      </w:rPr>
                                      <w:t>23 December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9BC9040" w:rsidR="00466905" w:rsidRPr="00D902A1" w:rsidRDefault="0094043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2-23T00:00:00Z">
                                <w:dateFormat w:val="dd MMMM yyyy"/>
                                <w:lid w:val="en-GB"/>
                                <w:storeMappedDataAs w:val="dateTime"/>
                                <w:calendar w:val="gregorian"/>
                              </w:date>
                            </w:sdtPr>
                            <w:sdtEndPr/>
                            <w:sdtContent>
                              <w:r w:rsidR="00647E2E">
                                <w:rPr>
                                  <w:color w:val="FFFFFF" w:themeColor="background1"/>
                                  <w:sz w:val="26"/>
                                  <w:szCs w:val="26"/>
                                  <w:lang w:val="en-GB"/>
                                </w:rPr>
                                <w:t>23 December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273FB403"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FB5FF7">
        <w:rPr>
          <w:lang w:val="en-GB"/>
        </w:rPr>
        <w:t xml:space="preserve"> Indices</w:t>
      </w:r>
      <w:r w:rsidR="00E05994">
        <w:rPr>
          <w:lang w:val="en-US"/>
        </w:rPr>
        <w:t xml:space="preserve"> (the ‘</w:t>
      </w:r>
      <w:r w:rsidR="00FB5FF7">
        <w:rPr>
          <w:lang w:val="en-US"/>
        </w:rPr>
        <w:t>Indices’</w:t>
      </w:r>
      <w:r w:rsidR="00E05994">
        <w:rPr>
          <w:lang w:val="en-US"/>
        </w:rPr>
        <w:t>):</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2141CF">
        <w:trPr>
          <w:trHeight w:val="201"/>
        </w:trPr>
        <w:tc>
          <w:tcPr>
            <w:tcW w:w="6227" w:type="dxa"/>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CA4471" w:rsidRPr="005C6F73" w14:paraId="5E5D5A4D" w14:textId="77777777" w:rsidTr="002141CF">
        <w:trPr>
          <w:trHeight w:val="201"/>
        </w:trPr>
        <w:tc>
          <w:tcPr>
            <w:tcW w:w="6227" w:type="dxa"/>
            <w:noWrap/>
            <w:tcMar>
              <w:top w:w="0" w:type="dxa"/>
              <w:left w:w="70" w:type="dxa"/>
              <w:bottom w:w="0" w:type="dxa"/>
              <w:right w:w="70" w:type="dxa"/>
            </w:tcMar>
            <w:vAlign w:val="center"/>
          </w:tcPr>
          <w:p w14:paraId="1E8B9D97" w14:textId="3D56DD9D" w:rsidR="00CA4471" w:rsidRPr="002141CF" w:rsidRDefault="00CA4471" w:rsidP="00764694">
            <w:pPr>
              <w:spacing w:line="256" w:lineRule="auto"/>
              <w:rPr>
                <w:color w:val="333333"/>
                <w:shd w:val="clear" w:color="auto" w:fill="F9F9F9"/>
                <w:lang w:val="en-US"/>
              </w:rPr>
            </w:pPr>
            <w:r w:rsidRPr="002141CF">
              <w:rPr>
                <w:color w:val="333333"/>
                <w:shd w:val="clear" w:color="auto" w:fill="F9F9F9"/>
                <w:lang w:val="en-US"/>
              </w:rPr>
              <w:t>RAFI Dynamic Multi-Factor Emerging Markets Index NTR/PR/TR</w:t>
            </w:r>
          </w:p>
        </w:tc>
        <w:tc>
          <w:tcPr>
            <w:tcW w:w="1560" w:type="dxa"/>
            <w:noWrap/>
            <w:tcMar>
              <w:top w:w="0" w:type="dxa"/>
              <w:left w:w="70" w:type="dxa"/>
              <w:bottom w:w="0" w:type="dxa"/>
              <w:right w:w="70" w:type="dxa"/>
            </w:tcMar>
            <w:vAlign w:val="bottom"/>
          </w:tcPr>
          <w:p w14:paraId="0C95C542" w14:textId="210FE935" w:rsidR="00CA4471" w:rsidRPr="002141CF" w:rsidRDefault="00CA4471" w:rsidP="00764694">
            <w:pPr>
              <w:spacing w:line="256" w:lineRule="auto"/>
              <w:rPr>
                <w:color w:val="333333"/>
                <w:shd w:val="clear" w:color="auto" w:fill="F9F9F9"/>
              </w:rPr>
            </w:pPr>
            <w:r w:rsidRPr="002141CF">
              <w:rPr>
                <w:color w:val="333333"/>
                <w:shd w:val="clear" w:color="auto" w:fill="F9F9F9"/>
              </w:rPr>
              <w:t>.RADMFENT</w:t>
            </w:r>
          </w:p>
          <w:p w14:paraId="0827813C" w14:textId="72A977C4" w:rsidR="00CA4471" w:rsidRPr="002141CF" w:rsidRDefault="00CA4471" w:rsidP="00764694">
            <w:pPr>
              <w:spacing w:line="256" w:lineRule="auto"/>
              <w:rPr>
                <w:color w:val="333333"/>
                <w:shd w:val="clear" w:color="auto" w:fill="F9F9F9"/>
              </w:rPr>
            </w:pPr>
            <w:r w:rsidRPr="002141CF">
              <w:rPr>
                <w:color w:val="333333"/>
                <w:shd w:val="clear" w:color="auto" w:fill="F9F9F9"/>
              </w:rPr>
              <w:t>.RADMFEMP</w:t>
            </w:r>
          </w:p>
          <w:p w14:paraId="6D29693E" w14:textId="169E91A1" w:rsidR="00CA4471" w:rsidRPr="002141CF" w:rsidRDefault="00CA4471" w:rsidP="00764694">
            <w:pPr>
              <w:spacing w:line="256" w:lineRule="auto"/>
              <w:rPr>
                <w:color w:val="333333"/>
                <w:shd w:val="clear" w:color="auto" w:fill="F9F9F9"/>
              </w:rPr>
            </w:pPr>
            <w:r w:rsidRPr="002141CF">
              <w:rPr>
                <w:color w:val="333333"/>
                <w:shd w:val="clear" w:color="auto" w:fill="F9F9F9"/>
              </w:rPr>
              <w:t>.RADMFEMT</w:t>
            </w:r>
          </w:p>
        </w:tc>
        <w:tc>
          <w:tcPr>
            <w:tcW w:w="1842" w:type="dxa"/>
            <w:noWrap/>
            <w:tcMar>
              <w:top w:w="0" w:type="dxa"/>
              <w:left w:w="70" w:type="dxa"/>
              <w:bottom w:w="0" w:type="dxa"/>
              <w:right w:w="70" w:type="dxa"/>
            </w:tcMar>
            <w:vAlign w:val="bottom"/>
          </w:tcPr>
          <w:p w14:paraId="17C84751" w14:textId="77777777" w:rsidR="00CA4471" w:rsidRPr="002141CF" w:rsidRDefault="00CA4471" w:rsidP="00764694">
            <w:pPr>
              <w:spacing w:line="256" w:lineRule="auto"/>
              <w:rPr>
                <w:color w:val="333333"/>
                <w:shd w:val="clear" w:color="auto" w:fill="F9F9F9"/>
              </w:rPr>
            </w:pPr>
            <w:r w:rsidRPr="002141CF">
              <w:rPr>
                <w:color w:val="333333"/>
                <w:shd w:val="clear" w:color="auto" w:fill="F9F9F9"/>
              </w:rPr>
              <w:t>DE000SLA2Z93</w:t>
            </w:r>
          </w:p>
          <w:p w14:paraId="6C9A22E3" w14:textId="77777777" w:rsidR="00CA4471" w:rsidRPr="002141CF" w:rsidRDefault="00CA4471" w:rsidP="00764694">
            <w:pPr>
              <w:spacing w:line="256" w:lineRule="auto"/>
              <w:rPr>
                <w:color w:val="333333"/>
                <w:shd w:val="clear" w:color="auto" w:fill="F9F9F9"/>
              </w:rPr>
            </w:pPr>
            <w:r w:rsidRPr="002141CF">
              <w:rPr>
                <w:color w:val="333333"/>
                <w:shd w:val="clear" w:color="auto" w:fill="F9F9F9"/>
              </w:rPr>
              <w:t>DE000SLA2ZR0</w:t>
            </w:r>
          </w:p>
          <w:p w14:paraId="68B762FC" w14:textId="3FE2ACB9" w:rsidR="00CA4471" w:rsidRPr="00764694" w:rsidRDefault="00CA4471" w:rsidP="00764694">
            <w:pPr>
              <w:spacing w:line="256" w:lineRule="auto"/>
              <w:rPr>
                <w:color w:val="333333"/>
                <w:shd w:val="clear" w:color="auto" w:fill="F9F9F9"/>
              </w:rPr>
            </w:pPr>
            <w:r w:rsidRPr="002141CF">
              <w:rPr>
                <w:color w:val="333333"/>
                <w:shd w:val="clear" w:color="auto" w:fill="F9F9F9"/>
              </w:rPr>
              <w:t>DE000SLA20T2</w:t>
            </w:r>
          </w:p>
        </w:tc>
      </w:tr>
      <w:tr w:rsidR="00CA4471" w:rsidRPr="005C6F73" w14:paraId="4E1819D7" w14:textId="77777777" w:rsidTr="002141CF">
        <w:trPr>
          <w:trHeight w:val="201"/>
        </w:trPr>
        <w:tc>
          <w:tcPr>
            <w:tcW w:w="6227" w:type="dxa"/>
            <w:noWrap/>
            <w:tcMar>
              <w:top w:w="0" w:type="dxa"/>
              <w:left w:w="70" w:type="dxa"/>
              <w:bottom w:w="0" w:type="dxa"/>
              <w:right w:w="70" w:type="dxa"/>
            </w:tcMar>
            <w:vAlign w:val="center"/>
          </w:tcPr>
          <w:p w14:paraId="76633B5B" w14:textId="2C4AC6C4" w:rsidR="00CA4471" w:rsidRPr="002141CF" w:rsidRDefault="0094043A" w:rsidP="00764694">
            <w:pPr>
              <w:spacing w:line="256" w:lineRule="auto"/>
              <w:rPr>
                <w:color w:val="333333"/>
                <w:shd w:val="clear" w:color="auto" w:fill="F9F9F9"/>
                <w:lang w:val="en-US"/>
              </w:rPr>
            </w:pPr>
            <w:hyperlink r:id="rId11" w:history="1">
              <w:r w:rsidR="00CA4471" w:rsidRPr="002141CF">
                <w:rPr>
                  <w:color w:val="333333"/>
                  <w:shd w:val="clear" w:color="auto" w:fill="F9F9F9"/>
                  <w:lang w:val="en-US"/>
                </w:rPr>
                <w:t>RAFI Dynamic Multi-Factor Emerging Markets South Africa</w:t>
              </w:r>
            </w:hyperlink>
            <w:r w:rsidR="00CA4471" w:rsidRPr="002141CF">
              <w:rPr>
                <w:color w:val="333333"/>
                <w:shd w:val="clear" w:color="auto" w:fill="F9F9F9"/>
                <w:lang w:val="en-US"/>
              </w:rPr>
              <w:t xml:space="preserve"> </w:t>
            </w:r>
            <w:r w:rsidR="00560161">
              <w:rPr>
                <w:color w:val="333333"/>
                <w:shd w:val="clear" w:color="auto" w:fill="F9F9F9"/>
                <w:lang w:val="en-US"/>
              </w:rPr>
              <w:t xml:space="preserve">Index </w:t>
            </w:r>
            <w:r w:rsidR="00CA4471" w:rsidRPr="002141CF">
              <w:rPr>
                <w:color w:val="333333"/>
                <w:shd w:val="clear" w:color="auto" w:fill="F9F9F9"/>
                <w:lang w:val="en-US"/>
              </w:rPr>
              <w:t>GTR/NTR/PR</w:t>
            </w:r>
          </w:p>
        </w:tc>
        <w:tc>
          <w:tcPr>
            <w:tcW w:w="1560" w:type="dxa"/>
            <w:noWrap/>
            <w:tcMar>
              <w:top w:w="0" w:type="dxa"/>
              <w:left w:w="70" w:type="dxa"/>
              <w:bottom w:w="0" w:type="dxa"/>
              <w:right w:w="70" w:type="dxa"/>
            </w:tcMar>
            <w:vAlign w:val="bottom"/>
          </w:tcPr>
          <w:p w14:paraId="2E6CD11E" w14:textId="4BC1AF83" w:rsidR="00CA4471" w:rsidRPr="002141CF" w:rsidRDefault="00CA4471" w:rsidP="00764694">
            <w:pPr>
              <w:spacing w:line="256" w:lineRule="auto"/>
              <w:rPr>
                <w:color w:val="333333"/>
                <w:shd w:val="clear" w:color="auto" w:fill="F9F9F9"/>
              </w:rPr>
            </w:pPr>
            <w:r w:rsidRPr="002141CF">
              <w:rPr>
                <w:color w:val="333333"/>
                <w:shd w:val="clear" w:color="auto" w:fill="F9F9F9"/>
              </w:rPr>
              <w:t>.RADMESAT</w:t>
            </w:r>
          </w:p>
          <w:p w14:paraId="3FFEB224" w14:textId="2ACF32F6" w:rsidR="00CA4471" w:rsidRPr="002141CF" w:rsidRDefault="00CA4471" w:rsidP="00764694">
            <w:pPr>
              <w:spacing w:line="256" w:lineRule="auto"/>
              <w:rPr>
                <w:color w:val="333333"/>
                <w:shd w:val="clear" w:color="auto" w:fill="F9F9F9"/>
              </w:rPr>
            </w:pPr>
            <w:r w:rsidRPr="002141CF">
              <w:rPr>
                <w:color w:val="333333"/>
                <w:shd w:val="clear" w:color="auto" w:fill="F9F9F9"/>
              </w:rPr>
              <w:t>.RADMESAN</w:t>
            </w:r>
          </w:p>
          <w:p w14:paraId="57E8FCAE" w14:textId="50A51E7F" w:rsidR="00CA4471" w:rsidRPr="002141CF" w:rsidRDefault="00CA4471" w:rsidP="00764694">
            <w:pPr>
              <w:spacing w:line="256" w:lineRule="auto"/>
              <w:rPr>
                <w:color w:val="333333"/>
                <w:shd w:val="clear" w:color="auto" w:fill="F9F9F9"/>
              </w:rPr>
            </w:pPr>
            <w:r w:rsidRPr="002141CF">
              <w:rPr>
                <w:color w:val="333333"/>
                <w:shd w:val="clear" w:color="auto" w:fill="F9F9F9"/>
              </w:rPr>
              <w:t>.RADMESAP</w:t>
            </w:r>
          </w:p>
        </w:tc>
        <w:tc>
          <w:tcPr>
            <w:tcW w:w="1842" w:type="dxa"/>
            <w:noWrap/>
            <w:tcMar>
              <w:top w:w="0" w:type="dxa"/>
              <w:left w:w="70" w:type="dxa"/>
              <w:bottom w:w="0" w:type="dxa"/>
              <w:right w:w="70" w:type="dxa"/>
            </w:tcMar>
            <w:vAlign w:val="bottom"/>
          </w:tcPr>
          <w:p w14:paraId="1C63CEDD" w14:textId="77777777" w:rsidR="00CA4471" w:rsidRPr="002141CF" w:rsidRDefault="00CA4471" w:rsidP="00764694">
            <w:pPr>
              <w:spacing w:line="256" w:lineRule="auto"/>
              <w:rPr>
                <w:color w:val="333333"/>
                <w:shd w:val="clear" w:color="auto" w:fill="F9F9F9"/>
              </w:rPr>
            </w:pPr>
            <w:r w:rsidRPr="002141CF">
              <w:rPr>
                <w:color w:val="333333"/>
                <w:shd w:val="clear" w:color="auto" w:fill="F9F9F9"/>
              </w:rPr>
              <w:t>DE000SL0EYD0</w:t>
            </w:r>
          </w:p>
          <w:p w14:paraId="1C9AB12C" w14:textId="77777777" w:rsidR="00CA4471" w:rsidRPr="002141CF" w:rsidRDefault="00CA4471" w:rsidP="00764694">
            <w:pPr>
              <w:spacing w:line="256" w:lineRule="auto"/>
              <w:rPr>
                <w:color w:val="333333"/>
                <w:shd w:val="clear" w:color="auto" w:fill="F9F9F9"/>
              </w:rPr>
            </w:pPr>
            <w:r w:rsidRPr="002141CF">
              <w:rPr>
                <w:color w:val="333333"/>
                <w:shd w:val="clear" w:color="auto" w:fill="F9F9F9"/>
              </w:rPr>
              <w:t>DE000SL0EYE8</w:t>
            </w:r>
          </w:p>
          <w:p w14:paraId="20328B56" w14:textId="4A3DC18F" w:rsidR="00CA4471" w:rsidRPr="002141CF" w:rsidRDefault="00CA4471" w:rsidP="00764694">
            <w:pPr>
              <w:spacing w:line="256" w:lineRule="auto"/>
              <w:rPr>
                <w:color w:val="333333"/>
                <w:shd w:val="clear" w:color="auto" w:fill="F9F9F9"/>
              </w:rPr>
            </w:pPr>
            <w:r w:rsidRPr="002141CF">
              <w:rPr>
                <w:color w:val="333333"/>
                <w:shd w:val="clear" w:color="auto" w:fill="F9F9F9"/>
              </w:rPr>
              <w:t>DE000SL0EYF5</w:t>
            </w:r>
          </w:p>
        </w:tc>
      </w:tr>
      <w:tr w:rsidR="00764694" w:rsidRPr="005C6F73" w14:paraId="4DA7D531" w14:textId="77777777" w:rsidTr="002141CF">
        <w:trPr>
          <w:trHeight w:val="201"/>
        </w:trPr>
        <w:tc>
          <w:tcPr>
            <w:tcW w:w="6227" w:type="dxa"/>
            <w:noWrap/>
            <w:tcMar>
              <w:top w:w="0" w:type="dxa"/>
              <w:left w:w="70" w:type="dxa"/>
              <w:bottom w:w="0" w:type="dxa"/>
              <w:right w:w="70" w:type="dxa"/>
            </w:tcMar>
            <w:vAlign w:val="center"/>
          </w:tcPr>
          <w:p w14:paraId="0D498300" w14:textId="4602E817" w:rsidR="00764694" w:rsidRPr="002141CF" w:rsidRDefault="00764694" w:rsidP="00764694">
            <w:pPr>
              <w:spacing w:line="256" w:lineRule="auto"/>
              <w:rPr>
                <w:color w:val="333333"/>
                <w:shd w:val="clear" w:color="auto" w:fill="F9F9F9"/>
                <w:lang w:val="en-US"/>
              </w:rPr>
            </w:pPr>
            <w:r w:rsidRPr="002141CF">
              <w:rPr>
                <w:color w:val="333333"/>
                <w:shd w:val="clear" w:color="auto" w:fill="F9F9F9"/>
                <w:lang w:val="en-US"/>
              </w:rPr>
              <w:t>RAFI Multi-Factor Emerging Markets Index PR/TR/NTR</w:t>
            </w:r>
          </w:p>
        </w:tc>
        <w:tc>
          <w:tcPr>
            <w:tcW w:w="1560" w:type="dxa"/>
            <w:noWrap/>
            <w:tcMar>
              <w:top w:w="0" w:type="dxa"/>
              <w:left w:w="70" w:type="dxa"/>
              <w:bottom w:w="0" w:type="dxa"/>
              <w:right w:w="70" w:type="dxa"/>
            </w:tcMar>
            <w:vAlign w:val="bottom"/>
          </w:tcPr>
          <w:p w14:paraId="5C08D0DD" w14:textId="52AB7121" w:rsidR="00764694" w:rsidRPr="002141CF" w:rsidRDefault="00764694" w:rsidP="00764694">
            <w:pPr>
              <w:spacing w:line="256" w:lineRule="auto"/>
              <w:rPr>
                <w:color w:val="333333"/>
                <w:shd w:val="clear" w:color="auto" w:fill="F9F9F9"/>
              </w:rPr>
            </w:pPr>
            <w:r w:rsidRPr="002141CF">
              <w:rPr>
                <w:color w:val="333333"/>
                <w:shd w:val="clear" w:color="auto" w:fill="F9F9F9"/>
              </w:rPr>
              <w:t>.RAQMFEMP</w:t>
            </w:r>
          </w:p>
          <w:p w14:paraId="6DF8A535" w14:textId="4B6A2E6D" w:rsidR="00764694" w:rsidRPr="002141CF" w:rsidRDefault="00764694" w:rsidP="00764694">
            <w:pPr>
              <w:spacing w:line="256" w:lineRule="auto"/>
              <w:rPr>
                <w:color w:val="333333"/>
                <w:shd w:val="clear" w:color="auto" w:fill="F9F9F9"/>
              </w:rPr>
            </w:pPr>
            <w:r w:rsidRPr="002141CF">
              <w:rPr>
                <w:color w:val="333333"/>
                <w:shd w:val="clear" w:color="auto" w:fill="F9F9F9"/>
              </w:rPr>
              <w:t>.RAQMFEMT</w:t>
            </w:r>
          </w:p>
          <w:p w14:paraId="583344A1" w14:textId="7241940E" w:rsidR="00764694" w:rsidRPr="002141CF" w:rsidRDefault="00764694" w:rsidP="00764694">
            <w:pPr>
              <w:spacing w:line="256" w:lineRule="auto"/>
              <w:rPr>
                <w:color w:val="333333"/>
                <w:shd w:val="clear" w:color="auto" w:fill="F9F9F9"/>
              </w:rPr>
            </w:pPr>
            <w:r w:rsidRPr="002141CF">
              <w:rPr>
                <w:color w:val="333333"/>
                <w:shd w:val="clear" w:color="auto" w:fill="F9F9F9"/>
              </w:rPr>
              <w:t>.RAQMFENT</w:t>
            </w:r>
          </w:p>
        </w:tc>
        <w:tc>
          <w:tcPr>
            <w:tcW w:w="1842" w:type="dxa"/>
            <w:noWrap/>
            <w:tcMar>
              <w:top w:w="0" w:type="dxa"/>
              <w:left w:w="70" w:type="dxa"/>
              <w:bottom w:w="0" w:type="dxa"/>
              <w:right w:w="70" w:type="dxa"/>
            </w:tcMar>
            <w:vAlign w:val="bottom"/>
          </w:tcPr>
          <w:p w14:paraId="5EB14A73" w14:textId="77777777" w:rsidR="00764694" w:rsidRPr="002141CF" w:rsidRDefault="00764694" w:rsidP="00764694">
            <w:pPr>
              <w:spacing w:line="256" w:lineRule="auto"/>
              <w:rPr>
                <w:color w:val="333333"/>
                <w:shd w:val="clear" w:color="auto" w:fill="F9F9F9"/>
              </w:rPr>
            </w:pPr>
            <w:r w:rsidRPr="002141CF">
              <w:rPr>
                <w:color w:val="333333"/>
                <w:shd w:val="clear" w:color="auto" w:fill="F9F9F9"/>
              </w:rPr>
              <w:t>DE000SLA21F9</w:t>
            </w:r>
          </w:p>
          <w:p w14:paraId="50B2F179" w14:textId="77777777" w:rsidR="00764694" w:rsidRPr="002141CF" w:rsidRDefault="00764694" w:rsidP="00764694">
            <w:pPr>
              <w:spacing w:line="256" w:lineRule="auto"/>
              <w:rPr>
                <w:color w:val="333333"/>
                <w:shd w:val="clear" w:color="auto" w:fill="F9F9F9"/>
              </w:rPr>
            </w:pPr>
            <w:r w:rsidRPr="002141CF">
              <w:rPr>
                <w:color w:val="333333"/>
                <w:shd w:val="clear" w:color="auto" w:fill="F9F9F9"/>
              </w:rPr>
              <w:t>DE000SLA21H5</w:t>
            </w:r>
          </w:p>
          <w:p w14:paraId="41DCC614" w14:textId="24B35AC4" w:rsidR="00764694" w:rsidRPr="002141CF" w:rsidRDefault="00764694" w:rsidP="00764694">
            <w:pPr>
              <w:spacing w:line="256" w:lineRule="auto"/>
              <w:rPr>
                <w:color w:val="333333"/>
                <w:shd w:val="clear" w:color="auto" w:fill="F9F9F9"/>
              </w:rPr>
            </w:pPr>
            <w:r w:rsidRPr="002141CF">
              <w:rPr>
                <w:color w:val="333333"/>
                <w:shd w:val="clear" w:color="auto" w:fill="F9F9F9"/>
              </w:rPr>
              <w:t>DE000SLA21G7</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2BF4DE5A" w14:textId="6ABF2076" w:rsidR="007E47D4" w:rsidRDefault="004E164D" w:rsidP="00F568D6">
      <w:pPr>
        <w:spacing w:before="0" w:after="160" w:line="259" w:lineRule="auto"/>
        <w:jc w:val="left"/>
        <w:rPr>
          <w:u w:val="single"/>
          <w:lang w:val="en-GB"/>
        </w:rPr>
      </w:pPr>
      <w:r w:rsidRPr="002141CF">
        <w:rPr>
          <w:lang w:val="en-GB"/>
        </w:rPr>
        <w:t>For the purpose of portfolio construction, companies in the RAFI Global Equity Investable Universe (GEIU)</w:t>
      </w:r>
      <w:r w:rsidR="0082544A">
        <w:rPr>
          <w:lang w:val="en-GB"/>
        </w:rPr>
        <w:t>, based on their country classification,</w:t>
      </w:r>
      <w:r w:rsidRPr="002141CF">
        <w:rPr>
          <w:lang w:val="en-GB"/>
        </w:rPr>
        <w:t xml:space="preserve"> are assigned to one of </w:t>
      </w:r>
      <w:r w:rsidR="00056860">
        <w:rPr>
          <w:lang w:val="en-GB"/>
        </w:rPr>
        <w:t xml:space="preserve">the </w:t>
      </w:r>
      <w:r w:rsidRPr="002141CF">
        <w:rPr>
          <w:lang w:val="en-GB"/>
        </w:rPr>
        <w:t>six regions defined as United States, Japan, United Kingdom, Developed Europe (ex</w:t>
      </w:r>
      <w:r w:rsidR="002B2473">
        <w:rPr>
          <w:lang w:val="en-GB"/>
        </w:rPr>
        <w:t xml:space="preserve"> </w:t>
      </w:r>
      <w:r w:rsidRPr="002141CF">
        <w:rPr>
          <w:lang w:val="en-GB"/>
        </w:rPr>
        <w:t>UK),</w:t>
      </w:r>
      <w:r w:rsidDel="004E164D">
        <w:rPr>
          <w:lang w:val="en-GB"/>
        </w:rPr>
        <w:t xml:space="preserve"> </w:t>
      </w:r>
      <w:r>
        <w:rPr>
          <w:lang w:val="en-GB"/>
        </w:rPr>
        <w:t>Other Developed Markets</w:t>
      </w:r>
      <w:r w:rsidR="00056860">
        <w:rPr>
          <w:lang w:val="en-GB"/>
        </w:rPr>
        <w:t xml:space="preserve"> and</w:t>
      </w:r>
      <w:r>
        <w:rPr>
          <w:lang w:val="en-GB"/>
        </w:rPr>
        <w:t xml:space="preserve"> Emerging Markets. Currently, China is included within the Emerging Markets </w:t>
      </w:r>
      <w:r w:rsidR="002B2473">
        <w:rPr>
          <w:lang w:val="en-GB"/>
        </w:rPr>
        <w:t xml:space="preserve">(EM) </w:t>
      </w:r>
      <w:r>
        <w:rPr>
          <w:lang w:val="en-GB"/>
        </w:rPr>
        <w:t>region. The proposal</w:t>
      </w:r>
      <w:r w:rsidR="002B2473">
        <w:rPr>
          <w:lang w:val="en-GB"/>
        </w:rPr>
        <w:t xml:space="preserve"> is to </w:t>
      </w:r>
      <w:r w:rsidR="002B2473" w:rsidRPr="002141CF">
        <w:rPr>
          <w:lang w:val="en-GB"/>
        </w:rPr>
        <w:t xml:space="preserve">break out the one </w:t>
      </w:r>
      <w:r w:rsidR="002B2473">
        <w:rPr>
          <w:lang w:val="en-GB"/>
        </w:rPr>
        <w:t>EM</w:t>
      </w:r>
      <w:r w:rsidR="002B2473" w:rsidRPr="002141CF">
        <w:rPr>
          <w:lang w:val="en-GB"/>
        </w:rPr>
        <w:t xml:space="preserve"> region into two regions</w:t>
      </w:r>
      <w:r w:rsidR="002B2473">
        <w:rPr>
          <w:lang w:val="en-GB"/>
        </w:rPr>
        <w:t xml:space="preserve"> </w:t>
      </w:r>
      <w:r w:rsidR="002B2473" w:rsidRPr="002141CF">
        <w:rPr>
          <w:lang w:val="en-GB"/>
        </w:rPr>
        <w:t>(EM ex</w:t>
      </w:r>
      <w:r w:rsidR="002B2473">
        <w:rPr>
          <w:lang w:val="en-GB"/>
        </w:rPr>
        <w:t xml:space="preserve"> </w:t>
      </w:r>
      <w:r w:rsidR="002B2473" w:rsidRPr="002141CF">
        <w:rPr>
          <w:lang w:val="en-GB"/>
        </w:rPr>
        <w:t>China and China)</w:t>
      </w:r>
      <w:r w:rsidR="00056860">
        <w:rPr>
          <w:lang w:val="en-GB"/>
        </w:rPr>
        <w:t>, to be effective for the March 2023 annual reconstitution</w:t>
      </w:r>
      <w:r w:rsidR="002B2473">
        <w:rPr>
          <w:lang w:val="en-GB"/>
        </w:rPr>
        <w:t>.</w:t>
      </w:r>
      <w:r w:rsidR="0082544A">
        <w:rPr>
          <w:lang w:val="en-GB"/>
        </w:rPr>
        <w:t xml:space="preserve"> Treating China separately as a region on its own have benefits arising from </w:t>
      </w:r>
      <w:r w:rsidR="0082544A" w:rsidRPr="00B17700">
        <w:rPr>
          <w:lang w:val="en-GB"/>
        </w:rPr>
        <w:t>China’s significant market size, its increasing dominance in the EM benchmark, and unique geopolitics and regulatory policy that could affect its performance</w:t>
      </w:r>
      <w:r w:rsidR="0082544A">
        <w:rPr>
          <w:lang w:val="en-GB"/>
        </w:rPr>
        <w:t>.</w:t>
      </w:r>
    </w:p>
    <w:p w14:paraId="2A079CAD" w14:textId="0FBB4D45"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862BCD" w:rsidRPr="002141CF">
        <w:rPr>
          <w:b/>
          <w:bCs/>
          <w:sz w:val="28"/>
          <w:szCs w:val="28"/>
          <w:u w:val="single"/>
          <w:lang w:val="en-US"/>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A86EDBE" w:rsidR="004A428F" w:rsidRDefault="004A428F" w:rsidP="0026131F">
      <w:pPr>
        <w:spacing w:before="0" w:after="160" w:line="259" w:lineRule="auto"/>
        <w:rPr>
          <w:lang w:val="en-GB"/>
        </w:rPr>
      </w:pPr>
      <w:r>
        <w:rPr>
          <w:lang w:val="en-GB"/>
        </w:rPr>
        <w:t>The following Methodology change</w:t>
      </w:r>
      <w:r w:rsidR="00862BCD">
        <w:rPr>
          <w:lang w:val="en-GB"/>
        </w:rPr>
        <w:t>s</w:t>
      </w:r>
      <w:r>
        <w:rPr>
          <w:lang w:val="en-GB"/>
        </w:rPr>
        <w:t xml:space="preserve"> </w:t>
      </w:r>
      <w:r w:rsidR="00862BCD">
        <w:rPr>
          <w:lang w:val="en-US"/>
        </w:rPr>
        <w:t>are</w:t>
      </w:r>
      <w:r>
        <w:rPr>
          <w:lang w:val="en-GB"/>
        </w:rPr>
        <w:t xml:space="preserve"> proposed in the following point</w:t>
      </w:r>
      <w:r w:rsidR="00862BCD">
        <w:rPr>
          <w:lang w:val="en-GB"/>
        </w:rPr>
        <w:t>s</w:t>
      </w:r>
      <w:r w:rsidR="00A64163" w:rsidRPr="0026131F" w:rsidDel="00C77B4F">
        <w:rPr>
          <w:lang w:val="en-GB"/>
        </w:rPr>
        <w:t xml:space="preserve"> </w:t>
      </w:r>
      <w:r w:rsidR="007074DD">
        <w:rPr>
          <w:lang w:val="en-GB"/>
        </w:rPr>
        <w:t xml:space="preserve">of the Index Guideline </w:t>
      </w:r>
      <w:r>
        <w:rPr>
          <w:lang w:val="en-GB"/>
        </w:rPr>
        <w:t>(ordered in accordance with the numbering of the affected sections)</w:t>
      </w:r>
      <w:r w:rsidR="007074DD">
        <w:rPr>
          <w:lang w:val="en-GB"/>
        </w:rPr>
        <w:t>.</w:t>
      </w:r>
    </w:p>
    <w:p w14:paraId="56FAAC5E" w14:textId="2F586666" w:rsidR="00862BCD" w:rsidRPr="002141CF" w:rsidRDefault="007074DD" w:rsidP="0026131F">
      <w:pPr>
        <w:spacing w:before="0" w:after="160" w:line="259" w:lineRule="auto"/>
        <w:rPr>
          <w:lang w:val="en-GB"/>
        </w:rPr>
      </w:pPr>
      <w:r>
        <w:rPr>
          <w:lang w:val="en-GB"/>
        </w:rPr>
        <w:t>To reflect the new regions from the proposed separation of Emerging Markets</w:t>
      </w:r>
      <w:r w:rsidR="00862BCD" w:rsidRPr="002141CF">
        <w:rPr>
          <w:lang w:val="en-GB"/>
        </w:rPr>
        <w:t xml:space="preserve">, the </w:t>
      </w:r>
      <w:r w:rsidR="00DE3005" w:rsidRPr="002141CF">
        <w:rPr>
          <w:lang w:val="en-GB"/>
        </w:rPr>
        <w:t>following changes will apply to the corresponding sections:</w:t>
      </w:r>
    </w:p>
    <w:p w14:paraId="7B39337D" w14:textId="1559BC78" w:rsidR="00DE3005" w:rsidRPr="002141CF" w:rsidRDefault="00DE3005" w:rsidP="0026131F">
      <w:pPr>
        <w:spacing w:before="0" w:after="160" w:line="259" w:lineRule="auto"/>
        <w:rPr>
          <w:u w:val="single"/>
          <w:lang w:val="en-GB"/>
        </w:rPr>
      </w:pPr>
      <w:r w:rsidRPr="002141CF">
        <w:rPr>
          <w:u w:val="single"/>
          <w:lang w:val="en-GB"/>
        </w:rPr>
        <w:t>Section 2.1</w:t>
      </w:r>
    </w:p>
    <w:p w14:paraId="39D396C8" w14:textId="4CD75087" w:rsidR="00862BCD" w:rsidRPr="00DE3005" w:rsidRDefault="00862BCD" w:rsidP="0026131F">
      <w:pPr>
        <w:spacing w:before="0" w:after="160" w:line="259" w:lineRule="auto"/>
        <w:rPr>
          <w:i/>
          <w:iCs/>
          <w:lang w:val="en-GB"/>
        </w:rPr>
      </w:pPr>
      <w:r w:rsidRPr="00DE3005">
        <w:rPr>
          <w:i/>
          <w:iCs/>
          <w:lang w:val="en-GB"/>
        </w:rPr>
        <w:lastRenderedPageBreak/>
        <w:t>From:</w:t>
      </w:r>
    </w:p>
    <w:p w14:paraId="25A74B6C" w14:textId="39AB022A" w:rsidR="00862BCD" w:rsidRPr="002141CF" w:rsidRDefault="00DF5526" w:rsidP="0026131F">
      <w:pPr>
        <w:spacing w:before="0" w:after="160" w:line="259" w:lineRule="auto"/>
        <w:rPr>
          <w:i/>
          <w:iCs/>
          <w:lang w:val="en-US"/>
        </w:rPr>
      </w:pPr>
      <w:r w:rsidRPr="002141CF">
        <w:rPr>
          <w:i/>
          <w:iCs/>
          <w:lang w:val="en-US"/>
        </w:rPr>
        <w:t>“</w:t>
      </w:r>
      <w:r w:rsidR="00862BCD" w:rsidRPr="002141CF">
        <w:rPr>
          <w:i/>
          <w:iCs/>
          <w:lang w:val="en-US"/>
        </w:rPr>
        <w:t>Eligible developed and emerging market countries are assigned to one of six regions as defined in Table 1.</w:t>
      </w:r>
      <w:r w:rsidR="00DE3005" w:rsidRPr="002141CF">
        <w:rPr>
          <w:i/>
          <w:iCs/>
          <w:lang w:val="en-US"/>
        </w:rPr>
        <w:t>”</w:t>
      </w:r>
    </w:p>
    <w:p w14:paraId="382AAD18" w14:textId="340E6B97" w:rsidR="00862BCD" w:rsidRPr="00DE3005" w:rsidRDefault="00862BCD" w:rsidP="0026131F">
      <w:pPr>
        <w:spacing w:before="0" w:after="160" w:line="259" w:lineRule="auto"/>
        <w:rPr>
          <w:i/>
          <w:iCs/>
          <w:lang w:val="en-US"/>
        </w:rPr>
      </w:pPr>
      <w:r w:rsidRPr="00DE3005">
        <w:rPr>
          <w:i/>
          <w:iCs/>
          <w:lang w:val="en-US"/>
        </w:rPr>
        <w:t>To:</w:t>
      </w:r>
    </w:p>
    <w:p w14:paraId="28425041" w14:textId="1844D0AA" w:rsidR="00862BCD" w:rsidRDefault="00DF5526" w:rsidP="0026131F">
      <w:pPr>
        <w:spacing w:before="0" w:after="160" w:line="259" w:lineRule="auto"/>
        <w:rPr>
          <w:i/>
          <w:iCs/>
          <w:lang w:val="en-US"/>
        </w:rPr>
      </w:pPr>
      <w:r w:rsidRPr="002141CF">
        <w:rPr>
          <w:i/>
          <w:iCs/>
          <w:lang w:val="en-US"/>
        </w:rPr>
        <w:t>“</w:t>
      </w:r>
      <w:r w:rsidR="00862BCD" w:rsidRPr="002141CF">
        <w:rPr>
          <w:i/>
          <w:iCs/>
          <w:lang w:val="en-US"/>
        </w:rPr>
        <w:t>Eligible developed and emerging market countries are assigned to one of seven regions as defined in Table 1.</w:t>
      </w:r>
      <w:r w:rsidRPr="002141CF">
        <w:rPr>
          <w:i/>
          <w:iCs/>
          <w:lang w:val="en-US"/>
        </w:rPr>
        <w:t>”</w:t>
      </w:r>
    </w:p>
    <w:p w14:paraId="4C61C82D" w14:textId="77777777" w:rsidR="009776B4" w:rsidRPr="00B17700" w:rsidRDefault="009776B4" w:rsidP="009776B4">
      <w:pPr>
        <w:spacing w:before="0" w:after="160" w:line="259" w:lineRule="auto"/>
        <w:rPr>
          <w:i/>
          <w:iCs/>
          <w:lang w:val="en-US"/>
        </w:rPr>
      </w:pPr>
      <w:r w:rsidRPr="00B17700">
        <w:rPr>
          <w:i/>
          <w:iCs/>
          <w:lang w:val="en-US"/>
        </w:rPr>
        <w:t>From:</w:t>
      </w:r>
    </w:p>
    <w:p w14:paraId="5E4932FF" w14:textId="77777777" w:rsidR="009776B4" w:rsidRPr="00B17700" w:rsidRDefault="009776B4" w:rsidP="009776B4">
      <w:pPr>
        <w:spacing w:before="0" w:after="160" w:line="259" w:lineRule="auto"/>
        <w:rPr>
          <w:i/>
          <w:iCs/>
          <w:lang w:val="en-US"/>
        </w:rPr>
      </w:pPr>
      <w:r>
        <w:rPr>
          <w:i/>
          <w:iCs/>
          <w:lang w:val="en-US"/>
        </w:rPr>
        <w:t>“</w:t>
      </w:r>
      <w:r w:rsidRPr="00B17700">
        <w:rPr>
          <w:i/>
          <w:iCs/>
          <w:lang w:val="en-US"/>
        </w:rPr>
        <w:t>As of March 2022, there are 23 developed market countries and 24 emerging market countries eligible for inclusion.</w:t>
      </w:r>
      <w:r>
        <w:rPr>
          <w:i/>
          <w:iCs/>
          <w:lang w:val="en-US"/>
        </w:rPr>
        <w:t>”</w:t>
      </w:r>
    </w:p>
    <w:p w14:paraId="393659DF" w14:textId="77777777" w:rsidR="009776B4" w:rsidRPr="00B17700" w:rsidRDefault="009776B4" w:rsidP="009776B4">
      <w:pPr>
        <w:spacing w:before="0" w:after="160" w:line="259" w:lineRule="auto"/>
        <w:rPr>
          <w:i/>
          <w:iCs/>
          <w:lang w:val="en-US"/>
        </w:rPr>
      </w:pPr>
      <w:r w:rsidRPr="00B17700">
        <w:rPr>
          <w:i/>
          <w:iCs/>
          <w:lang w:val="en-US"/>
        </w:rPr>
        <w:t>To:</w:t>
      </w:r>
    </w:p>
    <w:p w14:paraId="2305CB3F" w14:textId="541744FA" w:rsidR="009776B4" w:rsidRPr="002141CF" w:rsidRDefault="009776B4" w:rsidP="0026131F">
      <w:pPr>
        <w:spacing w:before="0" w:after="160" w:line="259" w:lineRule="auto"/>
        <w:rPr>
          <w:i/>
          <w:iCs/>
          <w:lang w:val="en-US"/>
        </w:rPr>
      </w:pPr>
      <w:r>
        <w:rPr>
          <w:i/>
          <w:iCs/>
          <w:lang w:val="en-US"/>
        </w:rPr>
        <w:t>“</w:t>
      </w:r>
      <w:r w:rsidRPr="00B17700">
        <w:rPr>
          <w:i/>
          <w:iCs/>
          <w:lang w:val="en-US"/>
        </w:rPr>
        <w:t>As of March 2023, there are 23 developed market countries and 24 emerging market countries eligible for inclusion.</w:t>
      </w:r>
      <w:r>
        <w:rPr>
          <w:i/>
          <w:iCs/>
          <w:lang w:val="en-US"/>
        </w:rPr>
        <w:t>”</w:t>
      </w:r>
    </w:p>
    <w:p w14:paraId="44C4ECBF" w14:textId="093CB837" w:rsidR="00DE3005" w:rsidRPr="002141CF" w:rsidRDefault="00DE3005" w:rsidP="0026131F">
      <w:pPr>
        <w:spacing w:before="0" w:after="160" w:line="259" w:lineRule="auto"/>
        <w:rPr>
          <w:u w:val="single"/>
          <w:lang w:val="en-US"/>
        </w:rPr>
      </w:pPr>
      <w:r w:rsidRPr="002141CF">
        <w:rPr>
          <w:u w:val="single"/>
          <w:lang w:val="en-US"/>
        </w:rPr>
        <w:t>Section 2.3</w:t>
      </w:r>
    </w:p>
    <w:p w14:paraId="3B86470D" w14:textId="77777777" w:rsidR="00DE3005" w:rsidRPr="00DE3005" w:rsidRDefault="00DE3005" w:rsidP="00DE3005">
      <w:pPr>
        <w:spacing w:before="0" w:after="160" w:line="259" w:lineRule="auto"/>
        <w:rPr>
          <w:i/>
          <w:iCs/>
          <w:lang w:val="en-GB"/>
        </w:rPr>
      </w:pPr>
      <w:r w:rsidRPr="00DE3005">
        <w:rPr>
          <w:i/>
          <w:iCs/>
          <w:lang w:val="en-GB"/>
        </w:rPr>
        <w:t>From:</w:t>
      </w:r>
    </w:p>
    <w:p w14:paraId="29609311" w14:textId="77777777" w:rsidR="00DE3005" w:rsidRPr="002141CF" w:rsidRDefault="00DE3005" w:rsidP="00DE3005">
      <w:pPr>
        <w:spacing w:before="0" w:after="160" w:line="259" w:lineRule="auto"/>
        <w:rPr>
          <w:i/>
          <w:iCs/>
          <w:lang w:val="en-US"/>
        </w:rPr>
      </w:pPr>
      <w:r w:rsidRPr="002141CF">
        <w:rPr>
          <w:i/>
          <w:iCs/>
          <w:lang w:val="en-US"/>
        </w:rPr>
        <w:t>”Table 2 outlines the 12 region and size classifications used to construct the single factor indices for value, low volatility, quality, momentum and size.</w:t>
      </w:r>
    </w:p>
    <w:p w14:paraId="78F6C8BE" w14:textId="77777777" w:rsidR="00DE3005" w:rsidRPr="00DE3005" w:rsidRDefault="00DE3005" w:rsidP="00DE3005">
      <w:pPr>
        <w:spacing w:before="0" w:after="160" w:line="259" w:lineRule="auto"/>
        <w:rPr>
          <w:i/>
          <w:iCs/>
          <w:lang w:val="en-GB"/>
        </w:rPr>
      </w:pPr>
      <w:r w:rsidRPr="002141CF">
        <w:rPr>
          <w:i/>
          <w:iCs/>
          <w:lang w:val="en-US"/>
        </w:rPr>
        <w:t>Country groups as outlined in Table 1 consist of major nations or small-country groups within each of the six regions.”</w:t>
      </w:r>
    </w:p>
    <w:p w14:paraId="2E800B7F" w14:textId="77777777" w:rsidR="00DE3005" w:rsidRPr="00DE3005" w:rsidRDefault="00DE3005" w:rsidP="00DE3005">
      <w:pPr>
        <w:spacing w:before="0" w:after="160" w:line="259" w:lineRule="auto"/>
        <w:rPr>
          <w:i/>
          <w:iCs/>
          <w:lang w:val="en-GB"/>
        </w:rPr>
      </w:pPr>
      <w:r w:rsidRPr="00DE3005">
        <w:rPr>
          <w:i/>
          <w:iCs/>
          <w:lang w:val="en-GB"/>
        </w:rPr>
        <w:t>To:</w:t>
      </w:r>
    </w:p>
    <w:p w14:paraId="0145E553" w14:textId="77777777" w:rsidR="00DE3005" w:rsidRPr="002141CF" w:rsidRDefault="00DE3005" w:rsidP="00DE3005">
      <w:pPr>
        <w:spacing w:before="0" w:after="160" w:line="259" w:lineRule="auto"/>
        <w:rPr>
          <w:i/>
          <w:iCs/>
          <w:lang w:val="en-US"/>
        </w:rPr>
      </w:pPr>
      <w:r w:rsidRPr="002141CF">
        <w:rPr>
          <w:i/>
          <w:iCs/>
          <w:lang w:val="en-US"/>
        </w:rPr>
        <w:t>”</w:t>
      </w:r>
      <w:bookmarkStart w:id="1" w:name="_Hlk122579654"/>
      <w:r w:rsidRPr="002141CF">
        <w:rPr>
          <w:i/>
          <w:iCs/>
          <w:lang w:val="en-US"/>
        </w:rPr>
        <w:t xml:space="preserve">Table 2 outlines the 14 region and size classifications used to construct the single factor </w:t>
      </w:r>
      <w:bookmarkEnd w:id="1"/>
      <w:r w:rsidRPr="002141CF">
        <w:rPr>
          <w:i/>
          <w:iCs/>
          <w:lang w:val="en-US"/>
        </w:rPr>
        <w:t>indices for value, low volatility, quality, momentum and size.</w:t>
      </w:r>
    </w:p>
    <w:p w14:paraId="7973CF13" w14:textId="4C4CDDD0" w:rsidR="00DE3005" w:rsidRDefault="00DE3005" w:rsidP="0026131F">
      <w:pPr>
        <w:spacing w:before="0" w:after="160" w:line="259" w:lineRule="auto"/>
        <w:rPr>
          <w:i/>
          <w:iCs/>
          <w:lang w:val="en-US"/>
        </w:rPr>
      </w:pPr>
      <w:r w:rsidRPr="002141CF">
        <w:rPr>
          <w:i/>
          <w:iCs/>
          <w:lang w:val="en-US"/>
        </w:rPr>
        <w:t>Country groups as outlined in Table 1 consist of major nations or small-country groups within each of the seven regions.”</w:t>
      </w:r>
    </w:p>
    <w:p w14:paraId="3BE65D63" w14:textId="40FABA00" w:rsidR="00E8102A" w:rsidRPr="002141CF" w:rsidRDefault="00E8102A" w:rsidP="0026131F">
      <w:pPr>
        <w:spacing w:before="0" w:after="160" w:line="259" w:lineRule="auto"/>
        <w:rPr>
          <w:u w:val="single"/>
          <w:lang w:val="en-US"/>
        </w:rPr>
      </w:pPr>
      <w:r w:rsidRPr="002141CF">
        <w:rPr>
          <w:u w:val="single"/>
          <w:lang w:val="en-US"/>
        </w:rPr>
        <w:t>Section 2.10</w:t>
      </w:r>
    </w:p>
    <w:p w14:paraId="3B8CBD4A" w14:textId="7CFCC48D" w:rsidR="00E8102A" w:rsidRPr="00E8102A" w:rsidRDefault="00E8102A" w:rsidP="0026131F">
      <w:pPr>
        <w:spacing w:before="0" w:after="160" w:line="259" w:lineRule="auto"/>
        <w:rPr>
          <w:i/>
          <w:iCs/>
          <w:lang w:val="en-US"/>
        </w:rPr>
      </w:pPr>
      <w:r w:rsidRPr="00E8102A">
        <w:rPr>
          <w:i/>
          <w:iCs/>
          <w:lang w:val="en-US"/>
        </w:rPr>
        <w:t xml:space="preserve">From: </w:t>
      </w:r>
    </w:p>
    <w:p w14:paraId="080D4E29" w14:textId="552B0960" w:rsidR="00E8102A" w:rsidRPr="002141CF" w:rsidRDefault="00E8102A" w:rsidP="0026131F">
      <w:pPr>
        <w:spacing w:before="0" w:after="160" w:line="259" w:lineRule="auto"/>
        <w:rPr>
          <w:i/>
          <w:iCs/>
          <w:lang w:val="en-US"/>
        </w:rPr>
      </w:pPr>
      <w:r w:rsidRPr="002141CF">
        <w:rPr>
          <w:i/>
          <w:iCs/>
          <w:lang w:val="en-US"/>
        </w:rPr>
        <w:t>“The RAFI Size Factor Index is the equal weight of the Small Value, Small Quality, Small Low Volatility, and Small Momentum factor portfolios for all regions, except for Emerging Markets.”</w:t>
      </w:r>
    </w:p>
    <w:p w14:paraId="4D0D2187" w14:textId="08C2AED1" w:rsidR="00E8102A" w:rsidRPr="002141CF" w:rsidRDefault="00E8102A" w:rsidP="0026131F">
      <w:pPr>
        <w:spacing w:before="0" w:after="160" w:line="259" w:lineRule="auto"/>
        <w:rPr>
          <w:i/>
          <w:iCs/>
          <w:lang w:val="en-US"/>
        </w:rPr>
      </w:pPr>
      <w:r w:rsidRPr="002141CF">
        <w:rPr>
          <w:i/>
          <w:iCs/>
          <w:lang w:val="en-US"/>
        </w:rPr>
        <w:t>To:</w:t>
      </w:r>
    </w:p>
    <w:p w14:paraId="2FB94C90" w14:textId="052D50A6" w:rsidR="00E8102A" w:rsidRDefault="00E8102A" w:rsidP="0026131F">
      <w:pPr>
        <w:spacing w:before="0" w:after="160" w:line="259" w:lineRule="auto"/>
        <w:rPr>
          <w:i/>
          <w:iCs/>
          <w:lang w:val="en-US"/>
        </w:rPr>
      </w:pPr>
      <w:r w:rsidRPr="002141CF">
        <w:rPr>
          <w:i/>
          <w:iCs/>
          <w:lang w:val="en-US"/>
        </w:rPr>
        <w:t>“The RAFI Size Factor Index is the equal weight of the Small Value, Small Quality, Small Low Volatility, and Small Momentum factor portfolios for all regions, except for China and Emerging Markets ex-China.”</w:t>
      </w:r>
    </w:p>
    <w:p w14:paraId="367BB683" w14:textId="6AE086C7" w:rsidR="00583C2C" w:rsidRPr="002141CF" w:rsidRDefault="00583C2C" w:rsidP="0026131F">
      <w:pPr>
        <w:spacing w:before="0" w:after="160" w:line="259" w:lineRule="auto"/>
        <w:rPr>
          <w:u w:val="single"/>
          <w:lang w:val="en-US"/>
        </w:rPr>
      </w:pPr>
      <w:r w:rsidRPr="002141CF">
        <w:rPr>
          <w:u w:val="single"/>
          <w:lang w:val="en-US"/>
        </w:rPr>
        <w:lastRenderedPageBreak/>
        <w:t>Section 2.11</w:t>
      </w:r>
    </w:p>
    <w:p w14:paraId="429F5DBB" w14:textId="338A0D6D" w:rsidR="00583C2C" w:rsidRPr="00583C2C" w:rsidRDefault="00583C2C" w:rsidP="0026131F">
      <w:pPr>
        <w:spacing w:before="0" w:after="160" w:line="259" w:lineRule="auto"/>
        <w:rPr>
          <w:i/>
          <w:iCs/>
          <w:lang w:val="en-US"/>
        </w:rPr>
      </w:pPr>
      <w:r w:rsidRPr="00583C2C">
        <w:rPr>
          <w:i/>
          <w:iCs/>
          <w:lang w:val="en-US"/>
        </w:rPr>
        <w:t>From:</w:t>
      </w:r>
    </w:p>
    <w:p w14:paraId="5231CE5C" w14:textId="5C104965" w:rsidR="00583C2C" w:rsidRPr="002141CF" w:rsidRDefault="00583C2C" w:rsidP="0026131F">
      <w:pPr>
        <w:spacing w:before="0" w:after="160" w:line="259" w:lineRule="auto"/>
        <w:rPr>
          <w:i/>
          <w:iCs/>
          <w:lang w:val="en-US"/>
        </w:rPr>
      </w:pPr>
      <w:r w:rsidRPr="002141CF">
        <w:rPr>
          <w:i/>
          <w:iCs/>
          <w:lang w:val="en-US"/>
        </w:rPr>
        <w:t>“The RAFI Multi-Factor Index takes an equally weighted allocation to value, low volatility, quality, momentum, and size factor indices for all regions, except for Emerging Markets where the size factor is excluded.”</w:t>
      </w:r>
    </w:p>
    <w:p w14:paraId="312E9331" w14:textId="3140E810" w:rsidR="00583C2C" w:rsidRPr="002141CF" w:rsidRDefault="00583C2C" w:rsidP="0026131F">
      <w:pPr>
        <w:spacing w:before="0" w:after="160" w:line="259" w:lineRule="auto"/>
        <w:rPr>
          <w:i/>
          <w:iCs/>
          <w:lang w:val="en-US"/>
        </w:rPr>
      </w:pPr>
      <w:r w:rsidRPr="002141CF">
        <w:rPr>
          <w:i/>
          <w:iCs/>
          <w:lang w:val="en-US"/>
        </w:rPr>
        <w:t>To:</w:t>
      </w:r>
    </w:p>
    <w:p w14:paraId="2213815C" w14:textId="0E0509E1" w:rsidR="00583C2C" w:rsidRDefault="00583C2C" w:rsidP="0026131F">
      <w:pPr>
        <w:spacing w:before="0" w:after="160" w:line="259" w:lineRule="auto"/>
        <w:rPr>
          <w:i/>
          <w:iCs/>
          <w:lang w:val="en-US"/>
        </w:rPr>
      </w:pPr>
      <w:r w:rsidRPr="002141CF">
        <w:rPr>
          <w:i/>
          <w:iCs/>
          <w:lang w:val="en-US"/>
        </w:rPr>
        <w:t>“The RAFI Multi-Factor Index takes an equally weighted allocation to value, low volatility, quality, momentum, and size factor indices for all regions, except for China and Emerging Markets ex-China where the size factor is excluded.”</w:t>
      </w:r>
    </w:p>
    <w:p w14:paraId="7258A38C" w14:textId="365B05EC" w:rsidR="008501D0" w:rsidRPr="002141CF" w:rsidRDefault="008501D0" w:rsidP="0026131F">
      <w:pPr>
        <w:spacing w:before="0" w:after="160" w:line="259" w:lineRule="auto"/>
        <w:rPr>
          <w:u w:val="single"/>
          <w:lang w:val="en-US"/>
        </w:rPr>
      </w:pPr>
      <w:r w:rsidRPr="002141CF">
        <w:rPr>
          <w:u w:val="single"/>
          <w:lang w:val="en-US"/>
        </w:rPr>
        <w:t>Section 2.11.3</w:t>
      </w:r>
    </w:p>
    <w:p w14:paraId="5CFF0221" w14:textId="34EAED7C" w:rsidR="008501D0" w:rsidRDefault="008501D0" w:rsidP="0026131F">
      <w:pPr>
        <w:spacing w:before="0" w:after="160" w:line="259" w:lineRule="auto"/>
        <w:rPr>
          <w:i/>
          <w:iCs/>
          <w:lang w:val="en-US"/>
        </w:rPr>
      </w:pPr>
      <w:r>
        <w:rPr>
          <w:i/>
          <w:iCs/>
          <w:lang w:val="en-US"/>
        </w:rPr>
        <w:t>From:</w:t>
      </w:r>
    </w:p>
    <w:p w14:paraId="33A56B7D" w14:textId="56D8F9AD" w:rsidR="008501D0" w:rsidRPr="002141CF" w:rsidRDefault="008501D0" w:rsidP="0026131F">
      <w:pPr>
        <w:spacing w:before="0" w:after="160" w:line="259" w:lineRule="auto"/>
        <w:rPr>
          <w:i/>
          <w:iCs/>
          <w:lang w:val="en-US"/>
        </w:rPr>
      </w:pPr>
      <w:r w:rsidRPr="009974E3">
        <w:rPr>
          <w:i/>
          <w:iCs/>
          <w:lang w:val="en-US"/>
        </w:rPr>
        <w:t>“T</w:t>
      </w:r>
      <w:r w:rsidRPr="002141CF">
        <w:rPr>
          <w:i/>
          <w:iCs/>
          <w:lang w:val="en-US"/>
        </w:rPr>
        <w:t>he RAFI Multi-Factor Emerging Markets ex-China Exclusion Screened Index is built using a custom Emerging Markets region that excludes China.”</w:t>
      </w:r>
    </w:p>
    <w:p w14:paraId="5CEF42A7" w14:textId="5F342574" w:rsidR="008501D0" w:rsidRPr="002141CF" w:rsidRDefault="008501D0" w:rsidP="0026131F">
      <w:pPr>
        <w:spacing w:before="0" w:after="160" w:line="259" w:lineRule="auto"/>
        <w:rPr>
          <w:i/>
          <w:iCs/>
          <w:lang w:val="en-US"/>
        </w:rPr>
      </w:pPr>
      <w:r w:rsidRPr="002141CF">
        <w:rPr>
          <w:i/>
          <w:iCs/>
          <w:lang w:val="en-US"/>
        </w:rPr>
        <w:t>To:</w:t>
      </w:r>
    </w:p>
    <w:p w14:paraId="6E8DCC39" w14:textId="6C6761BC" w:rsidR="008501D0" w:rsidRDefault="008501D0" w:rsidP="0026131F">
      <w:pPr>
        <w:spacing w:before="0" w:after="160" w:line="259" w:lineRule="auto"/>
        <w:rPr>
          <w:i/>
          <w:iCs/>
          <w:lang w:val="en-US"/>
        </w:rPr>
      </w:pPr>
      <w:r w:rsidRPr="002141CF">
        <w:rPr>
          <w:i/>
          <w:iCs/>
          <w:lang w:val="en-US"/>
        </w:rPr>
        <w:t>“The RAFI Multi-Factor Emerging Markets ex-China Exclusion Screened Index takes an equally weighted allocation to value, low volatility, quality and momentum for the Emerging Markets ex-China region.”</w:t>
      </w:r>
    </w:p>
    <w:p w14:paraId="551D56C4" w14:textId="77272622" w:rsidR="00222801" w:rsidRPr="002141CF" w:rsidRDefault="00222801" w:rsidP="0026131F">
      <w:pPr>
        <w:spacing w:before="0" w:after="160" w:line="259" w:lineRule="auto"/>
        <w:rPr>
          <w:u w:val="single"/>
          <w:lang w:val="en-US"/>
        </w:rPr>
      </w:pPr>
      <w:r w:rsidRPr="002141CF">
        <w:rPr>
          <w:u w:val="single"/>
          <w:lang w:val="en-US"/>
        </w:rPr>
        <w:t>Section 2.12</w:t>
      </w:r>
    </w:p>
    <w:p w14:paraId="33EEEECC" w14:textId="60452C16" w:rsidR="00222801" w:rsidRPr="002141CF" w:rsidRDefault="00222801" w:rsidP="0026131F">
      <w:pPr>
        <w:spacing w:before="0" w:after="160" w:line="259" w:lineRule="auto"/>
        <w:rPr>
          <w:i/>
          <w:iCs/>
          <w:lang w:val="en-US"/>
        </w:rPr>
      </w:pPr>
      <w:r w:rsidRPr="002141CF">
        <w:rPr>
          <w:i/>
          <w:iCs/>
          <w:lang w:val="en-US"/>
        </w:rPr>
        <w:t xml:space="preserve">From: </w:t>
      </w:r>
    </w:p>
    <w:p w14:paraId="54C50DAD" w14:textId="09C10F63" w:rsidR="00222801" w:rsidRPr="002141CF" w:rsidRDefault="00222801" w:rsidP="0026131F">
      <w:pPr>
        <w:spacing w:before="0" w:after="160" w:line="259" w:lineRule="auto"/>
        <w:rPr>
          <w:i/>
          <w:iCs/>
          <w:lang w:val="en-US"/>
        </w:rPr>
      </w:pPr>
      <w:r w:rsidRPr="002141CF">
        <w:rPr>
          <w:i/>
          <w:iCs/>
          <w:lang w:val="en-US"/>
        </w:rPr>
        <w:t>“The RAFI Dynamic Multi-Factor Index dynamically allocates to value, low volatility, quality, momentum, and size factor indices for all regions, except for Emerging Markets where the size factor is excluded.”</w:t>
      </w:r>
    </w:p>
    <w:p w14:paraId="58B93AA2" w14:textId="0022DEAC" w:rsidR="00222801" w:rsidRPr="002141CF" w:rsidRDefault="00222801" w:rsidP="0026131F">
      <w:pPr>
        <w:spacing w:before="0" w:after="160" w:line="259" w:lineRule="auto"/>
        <w:rPr>
          <w:i/>
          <w:iCs/>
          <w:lang w:val="en-US"/>
        </w:rPr>
      </w:pPr>
      <w:r w:rsidRPr="002141CF">
        <w:rPr>
          <w:i/>
          <w:iCs/>
          <w:lang w:val="en-US"/>
        </w:rPr>
        <w:t>To:</w:t>
      </w:r>
    </w:p>
    <w:p w14:paraId="6FE1FBA9" w14:textId="33846FD1" w:rsidR="0094043A" w:rsidRDefault="00222801" w:rsidP="0026131F">
      <w:pPr>
        <w:spacing w:before="0" w:after="160" w:line="259" w:lineRule="auto"/>
        <w:rPr>
          <w:i/>
          <w:iCs/>
          <w:lang w:val="en-US"/>
        </w:rPr>
      </w:pPr>
      <w:r w:rsidRPr="002141CF">
        <w:rPr>
          <w:i/>
          <w:iCs/>
          <w:lang w:val="en-US"/>
        </w:rPr>
        <w:t>“The RAFI Dynamic Multi-Factor Index dynamically allocates to value, low volatility, quality, momentum, and size factor indices for all regions, except for China and Emerging Markets ex-China where the size factor is excluded.”</w:t>
      </w:r>
    </w:p>
    <w:p w14:paraId="7AC264FC" w14:textId="77777777" w:rsidR="0094043A" w:rsidRDefault="0094043A">
      <w:pPr>
        <w:spacing w:before="0" w:after="160" w:line="259" w:lineRule="auto"/>
        <w:jc w:val="left"/>
        <w:rPr>
          <w:i/>
          <w:iCs/>
          <w:lang w:val="en-US"/>
        </w:rPr>
      </w:pPr>
      <w:r>
        <w:rPr>
          <w:i/>
          <w:iCs/>
          <w:lang w:val="en-US"/>
        </w:rPr>
        <w:br w:type="page"/>
      </w:r>
    </w:p>
    <w:p w14:paraId="1A95661B" w14:textId="45D81017" w:rsidR="00CA69AE" w:rsidRPr="002141CF" w:rsidRDefault="00CA69AE" w:rsidP="0026131F">
      <w:pPr>
        <w:spacing w:before="0" w:after="160" w:line="259" w:lineRule="auto"/>
        <w:rPr>
          <w:lang w:val="en-US"/>
        </w:rPr>
      </w:pPr>
      <w:r w:rsidRPr="00DE3005">
        <w:rPr>
          <w:lang w:val="en-US"/>
        </w:rPr>
        <w:t xml:space="preserve">Table 1 in section 2.1 will </w:t>
      </w:r>
      <w:r w:rsidRPr="002141CF">
        <w:rPr>
          <w:lang w:val="en-US"/>
        </w:rPr>
        <w:t xml:space="preserve">reflect the </w:t>
      </w:r>
      <w:r w:rsidR="00A273C4">
        <w:rPr>
          <w:lang w:val="en-US"/>
        </w:rPr>
        <w:t xml:space="preserve">two </w:t>
      </w:r>
      <w:r w:rsidR="009776B4">
        <w:rPr>
          <w:lang w:val="en-US"/>
        </w:rPr>
        <w:t>new regions</w:t>
      </w:r>
      <w:r w:rsidRPr="00DE3005">
        <w:rPr>
          <w:lang w:val="en-US"/>
        </w:rPr>
        <w:t xml:space="preserve"> </w:t>
      </w:r>
      <w:r w:rsidR="00A273C4">
        <w:rPr>
          <w:lang w:val="en-US"/>
        </w:rPr>
        <w:t xml:space="preserve">under Emerging Markets </w:t>
      </w:r>
      <w:r w:rsidRPr="00DE3005">
        <w:rPr>
          <w:lang w:val="en-US"/>
        </w:rPr>
        <w:t>as a result of the change:</w:t>
      </w:r>
    </w:p>
    <w:tbl>
      <w:tblPr>
        <w:tblW w:w="9000" w:type="dxa"/>
        <w:jc w:val="center"/>
        <w:tblCellMar>
          <w:left w:w="58" w:type="dxa"/>
          <w:right w:w="0" w:type="dxa"/>
        </w:tblCellMar>
        <w:tblLook w:val="04A0" w:firstRow="1" w:lastRow="0" w:firstColumn="1" w:lastColumn="0" w:noHBand="0" w:noVBand="1"/>
      </w:tblPr>
      <w:tblGrid>
        <w:gridCol w:w="1006"/>
        <w:gridCol w:w="980"/>
        <w:gridCol w:w="893"/>
        <w:gridCol w:w="1832"/>
        <w:gridCol w:w="1824"/>
        <w:gridCol w:w="797"/>
        <w:gridCol w:w="1668"/>
      </w:tblGrid>
      <w:tr w:rsidR="00DF5526" w14:paraId="1810A52E" w14:textId="77777777" w:rsidTr="00DF5526">
        <w:trPr>
          <w:trHeight w:val="288"/>
          <w:jc w:val="center"/>
        </w:trPr>
        <w:tc>
          <w:tcPr>
            <w:tcW w:w="6511" w:type="dxa"/>
            <w:gridSpan w:val="5"/>
            <w:tcBorders>
              <w:top w:val="nil"/>
              <w:left w:val="nil"/>
              <w:bottom w:val="single" w:sz="4" w:space="0" w:color="auto"/>
              <w:right w:val="nil"/>
            </w:tcBorders>
            <w:vAlign w:val="center"/>
            <w:hideMark/>
          </w:tcPr>
          <w:p w14:paraId="6375A6F2" w14:textId="77777777" w:rsidR="00DF5526" w:rsidRDefault="00DF5526">
            <w:pPr>
              <w:pStyle w:val="WhitneyBod"/>
              <w:spacing w:after="0" w:line="256" w:lineRule="auto"/>
              <w:jc w:val="left"/>
              <w:rPr>
                <w:rFonts w:ascii="Arial" w:hAnsi="Arial"/>
                <w:b/>
                <w:color w:val="EEECE1" w:themeColor="background2"/>
                <w:lang w:eastAsia="zh-TW"/>
              </w:rPr>
            </w:pPr>
            <w:r>
              <w:rPr>
                <w:rFonts w:ascii="Arial" w:hAnsi="Arial"/>
                <w:b/>
                <w:lang w:eastAsia="zh-TW"/>
              </w:rPr>
              <w:t>Table 1</w:t>
            </w:r>
          </w:p>
        </w:tc>
        <w:tc>
          <w:tcPr>
            <w:tcW w:w="2489" w:type="dxa"/>
            <w:gridSpan w:val="2"/>
            <w:tcBorders>
              <w:top w:val="nil"/>
              <w:left w:val="nil"/>
              <w:bottom w:val="single" w:sz="4" w:space="0" w:color="auto"/>
              <w:right w:val="nil"/>
            </w:tcBorders>
            <w:vAlign w:val="center"/>
          </w:tcPr>
          <w:p w14:paraId="33928BF9" w14:textId="77777777" w:rsidR="00DF5526" w:rsidRDefault="00DF5526">
            <w:pPr>
              <w:pStyle w:val="WhitneyBod"/>
              <w:spacing w:after="0" w:line="256" w:lineRule="auto"/>
              <w:ind w:right="0"/>
              <w:jc w:val="center"/>
              <w:rPr>
                <w:rFonts w:ascii="Arial" w:hAnsi="Arial"/>
                <w:b/>
                <w:color w:val="EEECE1" w:themeColor="background2"/>
                <w:lang w:eastAsia="zh-TW"/>
              </w:rPr>
            </w:pPr>
          </w:p>
        </w:tc>
      </w:tr>
      <w:tr w:rsidR="00DF5526" w14:paraId="3702AEEF" w14:textId="77777777" w:rsidTr="00DF5526">
        <w:trPr>
          <w:trHeight w:val="432"/>
          <w:jc w:val="center"/>
        </w:trPr>
        <w:tc>
          <w:tcPr>
            <w:tcW w:w="6511" w:type="dxa"/>
            <w:gridSpan w:val="5"/>
            <w:tcBorders>
              <w:top w:val="single" w:sz="4" w:space="0" w:color="auto"/>
              <w:left w:val="nil"/>
              <w:bottom w:val="single" w:sz="4" w:space="0" w:color="auto"/>
              <w:right w:val="single" w:sz="4" w:space="0" w:color="auto"/>
            </w:tcBorders>
            <w:shd w:val="clear" w:color="auto" w:fill="005293"/>
            <w:vAlign w:val="center"/>
            <w:hideMark/>
          </w:tcPr>
          <w:p w14:paraId="519D8165" w14:textId="77777777" w:rsidR="00DF5526" w:rsidRDefault="00DF5526">
            <w:pPr>
              <w:pStyle w:val="WhitneyBod"/>
              <w:spacing w:after="0" w:line="256" w:lineRule="auto"/>
              <w:ind w:right="0"/>
              <w:jc w:val="center"/>
              <w:rPr>
                <w:rFonts w:ascii="Arial" w:hAnsi="Arial"/>
                <w:b/>
                <w:color w:val="FFFFFF" w:themeColor="background1"/>
                <w:lang w:eastAsia="zh-TW"/>
              </w:rPr>
            </w:pPr>
            <w:r>
              <w:rPr>
                <w:rFonts w:ascii="Arial" w:hAnsi="Arial"/>
                <w:b/>
                <w:color w:val="FFFFFF" w:themeColor="background1"/>
                <w:lang w:eastAsia="zh-TW"/>
              </w:rPr>
              <w:t>DEVELOPED MARKETS</w:t>
            </w:r>
          </w:p>
        </w:tc>
        <w:tc>
          <w:tcPr>
            <w:tcW w:w="2489" w:type="dxa"/>
            <w:gridSpan w:val="2"/>
            <w:tcBorders>
              <w:top w:val="single" w:sz="4" w:space="0" w:color="auto"/>
              <w:left w:val="single" w:sz="4" w:space="0" w:color="auto"/>
              <w:bottom w:val="single" w:sz="4" w:space="0" w:color="auto"/>
              <w:right w:val="nil"/>
            </w:tcBorders>
            <w:shd w:val="clear" w:color="auto" w:fill="005293"/>
            <w:vAlign w:val="center"/>
            <w:hideMark/>
          </w:tcPr>
          <w:p w14:paraId="2279D590" w14:textId="77777777" w:rsidR="00DF5526" w:rsidRDefault="00DF5526">
            <w:pPr>
              <w:pStyle w:val="WhitneyBod"/>
              <w:spacing w:after="0" w:line="256" w:lineRule="auto"/>
              <w:ind w:right="0"/>
              <w:jc w:val="center"/>
              <w:rPr>
                <w:rFonts w:ascii="Arial" w:hAnsi="Arial"/>
                <w:b/>
                <w:color w:val="FFFFFF" w:themeColor="background1"/>
                <w:lang w:eastAsia="zh-TW"/>
              </w:rPr>
            </w:pPr>
            <w:r>
              <w:rPr>
                <w:rFonts w:ascii="Arial" w:hAnsi="Arial"/>
                <w:b/>
                <w:color w:val="FFFFFF" w:themeColor="background1"/>
                <w:lang w:eastAsia="zh-TW"/>
              </w:rPr>
              <w:t>EMERGING MARKETS</w:t>
            </w:r>
          </w:p>
        </w:tc>
      </w:tr>
      <w:tr w:rsidR="00DF5526" w14:paraId="73A999FA" w14:textId="77777777" w:rsidTr="002141CF">
        <w:trPr>
          <w:trHeight w:val="615"/>
          <w:jc w:val="center"/>
        </w:trPr>
        <w:tc>
          <w:tcPr>
            <w:tcW w:w="998" w:type="dxa"/>
            <w:tcBorders>
              <w:top w:val="single" w:sz="4" w:space="0" w:color="auto"/>
              <w:left w:val="nil"/>
              <w:bottom w:val="single" w:sz="4" w:space="0" w:color="auto"/>
              <w:right w:val="nil"/>
            </w:tcBorders>
            <w:vAlign w:val="center"/>
            <w:hideMark/>
          </w:tcPr>
          <w:p w14:paraId="7CFDD472"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 xml:space="preserve">United </w:t>
            </w:r>
          </w:p>
          <w:p w14:paraId="30CC2083"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States</w:t>
            </w:r>
          </w:p>
        </w:tc>
        <w:tc>
          <w:tcPr>
            <w:tcW w:w="972" w:type="dxa"/>
            <w:tcBorders>
              <w:top w:val="single" w:sz="4" w:space="0" w:color="auto"/>
              <w:left w:val="nil"/>
              <w:bottom w:val="single" w:sz="4" w:space="0" w:color="auto"/>
              <w:right w:val="nil"/>
            </w:tcBorders>
            <w:vAlign w:val="center"/>
            <w:hideMark/>
          </w:tcPr>
          <w:p w14:paraId="22080840"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Japan</w:t>
            </w:r>
          </w:p>
        </w:tc>
        <w:tc>
          <w:tcPr>
            <w:tcW w:w="901" w:type="dxa"/>
            <w:tcBorders>
              <w:top w:val="single" w:sz="4" w:space="0" w:color="auto"/>
              <w:left w:val="nil"/>
              <w:bottom w:val="single" w:sz="4" w:space="0" w:color="auto"/>
              <w:right w:val="nil"/>
            </w:tcBorders>
            <w:vAlign w:val="center"/>
            <w:hideMark/>
          </w:tcPr>
          <w:p w14:paraId="29313DBE"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 xml:space="preserve">United </w:t>
            </w:r>
          </w:p>
          <w:p w14:paraId="611A683B"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Kingdom</w:t>
            </w:r>
          </w:p>
        </w:tc>
        <w:tc>
          <w:tcPr>
            <w:tcW w:w="1824" w:type="dxa"/>
            <w:tcBorders>
              <w:top w:val="single" w:sz="4" w:space="0" w:color="auto"/>
              <w:left w:val="nil"/>
              <w:bottom w:val="single" w:sz="4" w:space="0" w:color="auto"/>
              <w:right w:val="nil"/>
            </w:tcBorders>
            <w:vAlign w:val="center"/>
            <w:hideMark/>
          </w:tcPr>
          <w:p w14:paraId="4D1D80D7"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 xml:space="preserve">Developed </w:t>
            </w:r>
          </w:p>
          <w:p w14:paraId="7FE49709"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Europe, ex UK</w:t>
            </w:r>
          </w:p>
        </w:tc>
        <w:tc>
          <w:tcPr>
            <w:tcW w:w="1816" w:type="dxa"/>
            <w:tcBorders>
              <w:top w:val="single" w:sz="4" w:space="0" w:color="auto"/>
              <w:left w:val="nil"/>
              <w:bottom w:val="single" w:sz="4" w:space="0" w:color="auto"/>
              <w:right w:val="single" w:sz="4" w:space="0" w:color="auto"/>
            </w:tcBorders>
            <w:vAlign w:val="center"/>
            <w:hideMark/>
          </w:tcPr>
          <w:p w14:paraId="7F8339CA"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Other Developed Markets</w:t>
            </w:r>
          </w:p>
        </w:tc>
        <w:tc>
          <w:tcPr>
            <w:tcW w:w="829" w:type="dxa"/>
            <w:tcBorders>
              <w:top w:val="single" w:sz="4" w:space="0" w:color="auto"/>
              <w:left w:val="single" w:sz="4" w:space="0" w:color="auto"/>
              <w:bottom w:val="single" w:sz="4" w:space="0" w:color="auto"/>
              <w:right w:val="nil"/>
            </w:tcBorders>
            <w:vAlign w:val="center"/>
            <w:hideMark/>
          </w:tcPr>
          <w:p w14:paraId="684CEE98"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China</w:t>
            </w:r>
          </w:p>
        </w:tc>
        <w:tc>
          <w:tcPr>
            <w:tcW w:w="1660" w:type="dxa"/>
            <w:tcBorders>
              <w:top w:val="single" w:sz="4" w:space="0" w:color="auto"/>
              <w:left w:val="nil"/>
              <w:bottom w:val="single" w:sz="4" w:space="0" w:color="auto"/>
              <w:right w:val="nil"/>
            </w:tcBorders>
            <w:vAlign w:val="center"/>
            <w:hideMark/>
          </w:tcPr>
          <w:p w14:paraId="6A6A32EE"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 xml:space="preserve">Emerging </w:t>
            </w:r>
          </w:p>
          <w:p w14:paraId="0730BC04" w14:textId="77777777" w:rsidR="00DF5526" w:rsidRDefault="00DF5526">
            <w:pPr>
              <w:pStyle w:val="WhitneyBod"/>
              <w:spacing w:after="0" w:line="256" w:lineRule="auto"/>
              <w:ind w:right="0"/>
              <w:jc w:val="left"/>
              <w:rPr>
                <w:rFonts w:ascii="Arial" w:hAnsi="Arial"/>
                <w:b/>
                <w:lang w:eastAsia="zh-TW"/>
              </w:rPr>
            </w:pPr>
            <w:r>
              <w:rPr>
                <w:rFonts w:ascii="Arial" w:hAnsi="Arial"/>
                <w:b/>
                <w:lang w:eastAsia="zh-TW"/>
              </w:rPr>
              <w:t>Markets ex-China</w:t>
            </w:r>
          </w:p>
        </w:tc>
      </w:tr>
      <w:tr w:rsidR="00DF5526" w14:paraId="19DBA37B" w14:textId="77777777" w:rsidTr="002141CF">
        <w:trPr>
          <w:trHeight w:val="20"/>
          <w:jc w:val="center"/>
        </w:trPr>
        <w:tc>
          <w:tcPr>
            <w:tcW w:w="998" w:type="dxa"/>
            <w:tcBorders>
              <w:top w:val="single" w:sz="4" w:space="0" w:color="auto"/>
              <w:left w:val="nil"/>
              <w:bottom w:val="nil"/>
              <w:right w:val="nil"/>
            </w:tcBorders>
            <w:shd w:val="clear" w:color="auto" w:fill="FFFFFF"/>
            <w:noWrap/>
            <w:vAlign w:val="center"/>
            <w:hideMark/>
          </w:tcPr>
          <w:p w14:paraId="4C84F252"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US</w:t>
            </w:r>
          </w:p>
        </w:tc>
        <w:tc>
          <w:tcPr>
            <w:tcW w:w="972" w:type="dxa"/>
            <w:tcBorders>
              <w:top w:val="single" w:sz="4" w:space="0" w:color="auto"/>
              <w:left w:val="nil"/>
              <w:bottom w:val="nil"/>
              <w:right w:val="nil"/>
            </w:tcBorders>
            <w:shd w:val="clear" w:color="auto" w:fill="FFFFFF"/>
            <w:noWrap/>
            <w:vAlign w:val="center"/>
            <w:hideMark/>
          </w:tcPr>
          <w:p w14:paraId="23512036"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Japan</w:t>
            </w:r>
          </w:p>
        </w:tc>
        <w:tc>
          <w:tcPr>
            <w:tcW w:w="901" w:type="dxa"/>
            <w:tcBorders>
              <w:top w:val="single" w:sz="4" w:space="0" w:color="auto"/>
              <w:left w:val="nil"/>
              <w:bottom w:val="nil"/>
              <w:right w:val="nil"/>
            </w:tcBorders>
            <w:shd w:val="clear" w:color="auto" w:fill="FFFFFF"/>
            <w:vAlign w:val="center"/>
            <w:hideMark/>
          </w:tcPr>
          <w:p w14:paraId="7A4D8B16"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UK</w:t>
            </w:r>
          </w:p>
        </w:tc>
        <w:tc>
          <w:tcPr>
            <w:tcW w:w="1824" w:type="dxa"/>
            <w:tcBorders>
              <w:top w:val="single" w:sz="4" w:space="0" w:color="auto"/>
              <w:left w:val="nil"/>
              <w:bottom w:val="nil"/>
              <w:right w:val="nil"/>
            </w:tcBorders>
            <w:shd w:val="clear" w:color="auto" w:fill="FFFFFF"/>
            <w:noWrap/>
            <w:vAlign w:val="center"/>
            <w:hideMark/>
          </w:tcPr>
          <w:p w14:paraId="0BDDB22C"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Austria</w:t>
            </w:r>
          </w:p>
        </w:tc>
        <w:tc>
          <w:tcPr>
            <w:tcW w:w="1816" w:type="dxa"/>
            <w:tcBorders>
              <w:top w:val="single" w:sz="4" w:space="0" w:color="auto"/>
              <w:left w:val="nil"/>
              <w:bottom w:val="nil"/>
              <w:right w:val="single" w:sz="4" w:space="0" w:color="auto"/>
            </w:tcBorders>
            <w:shd w:val="clear" w:color="auto" w:fill="FFFFFF"/>
            <w:noWrap/>
            <w:vAlign w:val="center"/>
            <w:hideMark/>
          </w:tcPr>
          <w:p w14:paraId="5308FA1B"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Australia</w:t>
            </w:r>
          </w:p>
        </w:tc>
        <w:tc>
          <w:tcPr>
            <w:tcW w:w="829" w:type="dxa"/>
            <w:tcBorders>
              <w:top w:val="single" w:sz="4" w:space="0" w:color="auto"/>
              <w:left w:val="single" w:sz="4" w:space="0" w:color="auto"/>
              <w:bottom w:val="nil"/>
              <w:right w:val="nil"/>
            </w:tcBorders>
            <w:shd w:val="clear" w:color="auto" w:fill="FFFFFF"/>
            <w:hideMark/>
          </w:tcPr>
          <w:p w14:paraId="1A6FB986"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China</w:t>
            </w:r>
          </w:p>
        </w:tc>
        <w:tc>
          <w:tcPr>
            <w:tcW w:w="1660" w:type="dxa"/>
            <w:tcBorders>
              <w:top w:val="single" w:sz="4" w:space="0" w:color="auto"/>
              <w:left w:val="nil"/>
              <w:bottom w:val="nil"/>
              <w:right w:val="nil"/>
            </w:tcBorders>
            <w:shd w:val="clear" w:color="auto" w:fill="FFFFFF"/>
            <w:noWrap/>
            <w:vAlign w:val="center"/>
            <w:hideMark/>
          </w:tcPr>
          <w:p w14:paraId="4B2D09BE"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Brazil</w:t>
            </w:r>
          </w:p>
        </w:tc>
      </w:tr>
      <w:tr w:rsidR="00DF5526" w14:paraId="4EF4817B" w14:textId="77777777" w:rsidTr="002141CF">
        <w:trPr>
          <w:trHeight w:val="20"/>
          <w:jc w:val="center"/>
        </w:trPr>
        <w:tc>
          <w:tcPr>
            <w:tcW w:w="998" w:type="dxa"/>
            <w:shd w:val="clear" w:color="auto" w:fill="FFFFFF"/>
            <w:noWrap/>
            <w:vAlign w:val="center"/>
            <w:hideMark/>
          </w:tcPr>
          <w:p w14:paraId="1A1B56EA" w14:textId="77777777" w:rsidR="00DF5526" w:rsidRDefault="00DF5526">
            <w:pPr>
              <w:rPr>
                <w:rFonts w:ascii="Arial" w:hAnsi="Arial"/>
                <w:color w:val="000000"/>
                <w:lang w:eastAsia="zh-TW"/>
              </w:rPr>
            </w:pPr>
          </w:p>
        </w:tc>
        <w:tc>
          <w:tcPr>
            <w:tcW w:w="972" w:type="dxa"/>
            <w:shd w:val="clear" w:color="auto" w:fill="FFFFFF"/>
            <w:noWrap/>
            <w:vAlign w:val="center"/>
            <w:hideMark/>
          </w:tcPr>
          <w:p w14:paraId="25E20F73"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6C776A58"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3C379B52"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Belgium</w:t>
            </w:r>
          </w:p>
        </w:tc>
        <w:tc>
          <w:tcPr>
            <w:tcW w:w="1816" w:type="dxa"/>
            <w:tcBorders>
              <w:top w:val="nil"/>
              <w:left w:val="nil"/>
              <w:bottom w:val="nil"/>
              <w:right w:val="single" w:sz="4" w:space="0" w:color="auto"/>
            </w:tcBorders>
            <w:shd w:val="clear" w:color="auto" w:fill="FFFFFF"/>
            <w:noWrap/>
            <w:vAlign w:val="center"/>
            <w:hideMark/>
          </w:tcPr>
          <w:p w14:paraId="3C4E5B40" w14:textId="77777777" w:rsidR="00DF5526" w:rsidRDefault="00DF5526">
            <w:pPr>
              <w:pStyle w:val="WhitneyBod"/>
              <w:spacing w:after="0" w:line="256" w:lineRule="auto"/>
              <w:ind w:right="0"/>
              <w:jc w:val="left"/>
              <w:rPr>
                <w:rFonts w:ascii="Arial" w:hAnsi="Arial"/>
                <w:b/>
                <w:i/>
                <w:color w:val="000000"/>
                <w:lang w:eastAsia="zh-TW"/>
              </w:rPr>
            </w:pPr>
            <w:r>
              <w:rPr>
                <w:rFonts w:ascii="Arial" w:hAnsi="Arial"/>
                <w:bCs/>
                <w:iCs/>
                <w:color w:val="000000"/>
                <w:lang w:eastAsia="zh-TW"/>
              </w:rPr>
              <w:t>Canada</w:t>
            </w:r>
          </w:p>
        </w:tc>
        <w:tc>
          <w:tcPr>
            <w:tcW w:w="829" w:type="dxa"/>
            <w:tcBorders>
              <w:top w:val="nil"/>
              <w:left w:val="single" w:sz="4" w:space="0" w:color="auto"/>
              <w:bottom w:val="nil"/>
              <w:right w:val="nil"/>
            </w:tcBorders>
            <w:shd w:val="clear" w:color="auto" w:fill="FFFFFF"/>
          </w:tcPr>
          <w:p w14:paraId="250F8483" w14:textId="77777777" w:rsidR="00DF5526" w:rsidRDefault="00DF5526">
            <w:pPr>
              <w:pStyle w:val="WhitneyBod"/>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5F5B5C65"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India</w:t>
            </w:r>
          </w:p>
        </w:tc>
      </w:tr>
      <w:tr w:rsidR="00DF5526" w14:paraId="4E122CA2" w14:textId="77777777" w:rsidTr="002141CF">
        <w:trPr>
          <w:trHeight w:val="20"/>
          <w:jc w:val="center"/>
        </w:trPr>
        <w:tc>
          <w:tcPr>
            <w:tcW w:w="998" w:type="dxa"/>
            <w:shd w:val="clear" w:color="auto" w:fill="FFFFFF"/>
            <w:noWrap/>
            <w:vAlign w:val="center"/>
            <w:hideMark/>
          </w:tcPr>
          <w:p w14:paraId="15183004" w14:textId="77777777" w:rsidR="00DF5526" w:rsidRDefault="00DF5526">
            <w:pPr>
              <w:rPr>
                <w:rFonts w:ascii="Arial" w:hAnsi="Arial"/>
                <w:color w:val="000000"/>
                <w:lang w:eastAsia="zh-TW"/>
              </w:rPr>
            </w:pPr>
          </w:p>
        </w:tc>
        <w:tc>
          <w:tcPr>
            <w:tcW w:w="972" w:type="dxa"/>
            <w:shd w:val="clear" w:color="auto" w:fill="FFFFFF"/>
            <w:noWrap/>
            <w:vAlign w:val="center"/>
            <w:hideMark/>
          </w:tcPr>
          <w:p w14:paraId="5BF6C53F"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24F9D9C8"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2024839B"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Denmark</w:t>
            </w:r>
          </w:p>
        </w:tc>
        <w:tc>
          <w:tcPr>
            <w:tcW w:w="1816" w:type="dxa"/>
            <w:tcBorders>
              <w:top w:val="nil"/>
              <w:left w:val="nil"/>
              <w:bottom w:val="nil"/>
              <w:right w:val="single" w:sz="4" w:space="0" w:color="auto"/>
            </w:tcBorders>
            <w:shd w:val="clear" w:color="auto" w:fill="FFFFFF"/>
            <w:noWrap/>
            <w:vAlign w:val="center"/>
            <w:hideMark/>
          </w:tcPr>
          <w:p w14:paraId="33D9A2C2" w14:textId="77777777" w:rsidR="00DF5526" w:rsidRDefault="00DF5526">
            <w:pPr>
              <w:pStyle w:val="WhitneyBod"/>
              <w:tabs>
                <w:tab w:val="left" w:pos="257"/>
              </w:tabs>
              <w:spacing w:after="0" w:line="256" w:lineRule="auto"/>
              <w:ind w:right="0"/>
              <w:jc w:val="left"/>
              <w:rPr>
                <w:rFonts w:ascii="Arial" w:hAnsi="Arial"/>
                <w:color w:val="000000"/>
                <w:lang w:eastAsia="zh-TW"/>
              </w:rPr>
            </w:pPr>
            <w:r>
              <w:rPr>
                <w:rFonts w:ascii="Arial" w:hAnsi="Arial"/>
                <w:b/>
                <w:i/>
                <w:color w:val="000000"/>
                <w:lang w:eastAsia="zh-TW"/>
              </w:rPr>
              <w:t>Asia Pacific</w:t>
            </w:r>
          </w:p>
        </w:tc>
        <w:tc>
          <w:tcPr>
            <w:tcW w:w="829" w:type="dxa"/>
            <w:tcBorders>
              <w:top w:val="nil"/>
              <w:left w:val="single" w:sz="4" w:space="0" w:color="auto"/>
              <w:bottom w:val="nil"/>
              <w:right w:val="nil"/>
            </w:tcBorders>
            <w:shd w:val="clear" w:color="auto" w:fill="FFFFFF"/>
          </w:tcPr>
          <w:p w14:paraId="3F45B0F6" w14:textId="77777777" w:rsidR="00DF5526" w:rsidRDefault="00DF5526">
            <w:pPr>
              <w:pStyle w:val="WhitneyBod"/>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6FA2A7F4"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South Africa</w:t>
            </w:r>
          </w:p>
        </w:tc>
      </w:tr>
      <w:tr w:rsidR="00DF5526" w14:paraId="0E6E6E50" w14:textId="77777777" w:rsidTr="002141CF">
        <w:trPr>
          <w:trHeight w:val="20"/>
          <w:jc w:val="center"/>
        </w:trPr>
        <w:tc>
          <w:tcPr>
            <w:tcW w:w="998" w:type="dxa"/>
            <w:shd w:val="clear" w:color="auto" w:fill="FFFFFF"/>
            <w:noWrap/>
            <w:vAlign w:val="center"/>
            <w:hideMark/>
          </w:tcPr>
          <w:p w14:paraId="2A471965" w14:textId="77777777" w:rsidR="00DF5526" w:rsidRDefault="00DF5526">
            <w:pPr>
              <w:rPr>
                <w:rFonts w:ascii="Arial" w:hAnsi="Arial"/>
                <w:color w:val="000000"/>
                <w:lang w:eastAsia="zh-TW"/>
              </w:rPr>
            </w:pPr>
          </w:p>
        </w:tc>
        <w:tc>
          <w:tcPr>
            <w:tcW w:w="972" w:type="dxa"/>
            <w:shd w:val="clear" w:color="auto" w:fill="FFFFFF"/>
            <w:noWrap/>
            <w:vAlign w:val="center"/>
            <w:hideMark/>
          </w:tcPr>
          <w:p w14:paraId="04A609AB"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70CD8DA8"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18C04A23"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Finland</w:t>
            </w:r>
          </w:p>
        </w:tc>
        <w:tc>
          <w:tcPr>
            <w:tcW w:w="1816" w:type="dxa"/>
            <w:tcBorders>
              <w:top w:val="nil"/>
              <w:left w:val="nil"/>
              <w:bottom w:val="nil"/>
              <w:right w:val="single" w:sz="4" w:space="0" w:color="auto"/>
            </w:tcBorders>
            <w:shd w:val="clear" w:color="auto" w:fill="FFFFFF"/>
            <w:noWrap/>
            <w:vAlign w:val="center"/>
            <w:hideMark/>
          </w:tcPr>
          <w:p w14:paraId="23E8EDF8" w14:textId="77777777" w:rsidR="00DF5526" w:rsidRDefault="00DF5526">
            <w:pPr>
              <w:pStyle w:val="WhitneyBod"/>
              <w:tabs>
                <w:tab w:val="left" w:pos="257"/>
              </w:tabs>
              <w:spacing w:after="0" w:line="256" w:lineRule="auto"/>
              <w:ind w:right="0"/>
              <w:jc w:val="left"/>
              <w:rPr>
                <w:rFonts w:ascii="Arial" w:hAnsi="Arial"/>
                <w:color w:val="000000"/>
                <w:lang w:eastAsia="zh-TW"/>
              </w:rPr>
            </w:pPr>
            <w:r>
              <w:rPr>
                <w:rFonts w:ascii="Arial" w:hAnsi="Arial"/>
                <w:color w:val="000000"/>
                <w:lang w:eastAsia="zh-TW"/>
              </w:rPr>
              <w:t xml:space="preserve">   Israel</w:t>
            </w:r>
          </w:p>
        </w:tc>
        <w:tc>
          <w:tcPr>
            <w:tcW w:w="829" w:type="dxa"/>
            <w:tcBorders>
              <w:top w:val="nil"/>
              <w:left w:val="single" w:sz="4" w:space="0" w:color="auto"/>
              <w:bottom w:val="nil"/>
              <w:right w:val="nil"/>
            </w:tcBorders>
            <w:shd w:val="clear" w:color="auto" w:fill="FFFFFF"/>
          </w:tcPr>
          <w:p w14:paraId="39FE00FC" w14:textId="77777777" w:rsidR="00DF5526" w:rsidRDefault="00DF5526">
            <w:pPr>
              <w:pStyle w:val="WhitneyBod"/>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60789EBC"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South Korea</w:t>
            </w:r>
          </w:p>
        </w:tc>
      </w:tr>
      <w:tr w:rsidR="00DF5526" w14:paraId="32B1C077" w14:textId="77777777" w:rsidTr="002141CF">
        <w:trPr>
          <w:trHeight w:val="20"/>
          <w:jc w:val="center"/>
        </w:trPr>
        <w:tc>
          <w:tcPr>
            <w:tcW w:w="998" w:type="dxa"/>
            <w:shd w:val="clear" w:color="auto" w:fill="FFFFFF"/>
            <w:noWrap/>
            <w:vAlign w:val="center"/>
            <w:hideMark/>
          </w:tcPr>
          <w:p w14:paraId="3D8AA8A3" w14:textId="77777777" w:rsidR="00DF5526" w:rsidRDefault="00DF5526">
            <w:pPr>
              <w:rPr>
                <w:rFonts w:ascii="Arial" w:hAnsi="Arial"/>
                <w:color w:val="000000"/>
                <w:lang w:eastAsia="zh-TW"/>
              </w:rPr>
            </w:pPr>
          </w:p>
        </w:tc>
        <w:tc>
          <w:tcPr>
            <w:tcW w:w="972" w:type="dxa"/>
            <w:shd w:val="clear" w:color="auto" w:fill="FFFFFF"/>
            <w:noWrap/>
            <w:vAlign w:val="center"/>
            <w:hideMark/>
          </w:tcPr>
          <w:p w14:paraId="0B744A30"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074EC62B"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741511F8"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France</w:t>
            </w:r>
          </w:p>
        </w:tc>
        <w:tc>
          <w:tcPr>
            <w:tcW w:w="1816" w:type="dxa"/>
            <w:tcBorders>
              <w:top w:val="nil"/>
              <w:left w:val="nil"/>
              <w:bottom w:val="nil"/>
              <w:right w:val="single" w:sz="4" w:space="0" w:color="auto"/>
            </w:tcBorders>
            <w:shd w:val="clear" w:color="auto" w:fill="FFFFFF"/>
            <w:noWrap/>
            <w:vAlign w:val="center"/>
            <w:hideMark/>
          </w:tcPr>
          <w:p w14:paraId="675F59B1" w14:textId="77777777" w:rsidR="00DF5526" w:rsidRDefault="00DF5526">
            <w:pPr>
              <w:pStyle w:val="WhitneyBod"/>
              <w:tabs>
                <w:tab w:val="left" w:pos="257"/>
              </w:tabs>
              <w:spacing w:after="0" w:line="256" w:lineRule="auto"/>
              <w:ind w:right="0"/>
              <w:jc w:val="left"/>
              <w:rPr>
                <w:rFonts w:ascii="Arial" w:hAnsi="Arial"/>
                <w:color w:val="000000"/>
                <w:lang w:eastAsia="zh-TW"/>
              </w:rPr>
            </w:pPr>
            <w:r>
              <w:rPr>
                <w:rFonts w:ascii="Arial" w:hAnsi="Arial"/>
                <w:color w:val="000000"/>
                <w:lang w:eastAsia="zh-TW"/>
              </w:rPr>
              <w:t xml:space="preserve">   Hong Kong</w:t>
            </w:r>
          </w:p>
        </w:tc>
        <w:tc>
          <w:tcPr>
            <w:tcW w:w="829" w:type="dxa"/>
            <w:tcBorders>
              <w:top w:val="nil"/>
              <w:left w:val="single" w:sz="4" w:space="0" w:color="auto"/>
              <w:bottom w:val="nil"/>
              <w:right w:val="nil"/>
            </w:tcBorders>
            <w:shd w:val="clear" w:color="auto" w:fill="FFFFFF"/>
          </w:tcPr>
          <w:p w14:paraId="5000CC38" w14:textId="77777777" w:rsidR="00DF5526" w:rsidRDefault="00DF5526">
            <w:pPr>
              <w:pStyle w:val="WhitneyBod"/>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49A74FEB"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Taiwan</w:t>
            </w:r>
          </w:p>
        </w:tc>
      </w:tr>
      <w:tr w:rsidR="00DF5526" w14:paraId="4C05D8A5" w14:textId="77777777" w:rsidTr="002141CF">
        <w:trPr>
          <w:trHeight w:val="20"/>
          <w:jc w:val="center"/>
        </w:trPr>
        <w:tc>
          <w:tcPr>
            <w:tcW w:w="998" w:type="dxa"/>
            <w:shd w:val="clear" w:color="auto" w:fill="FFFFFF"/>
            <w:noWrap/>
            <w:vAlign w:val="center"/>
            <w:hideMark/>
          </w:tcPr>
          <w:p w14:paraId="683163C1" w14:textId="77777777" w:rsidR="00DF5526" w:rsidRDefault="00DF5526">
            <w:pPr>
              <w:rPr>
                <w:rFonts w:ascii="Arial" w:hAnsi="Arial"/>
                <w:color w:val="000000"/>
                <w:lang w:eastAsia="zh-TW"/>
              </w:rPr>
            </w:pPr>
          </w:p>
        </w:tc>
        <w:tc>
          <w:tcPr>
            <w:tcW w:w="972" w:type="dxa"/>
            <w:shd w:val="clear" w:color="auto" w:fill="FFFFFF"/>
            <w:noWrap/>
            <w:vAlign w:val="center"/>
            <w:hideMark/>
          </w:tcPr>
          <w:p w14:paraId="49CCCABD"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508A9684"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6FBD2855"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Germany</w:t>
            </w:r>
          </w:p>
        </w:tc>
        <w:tc>
          <w:tcPr>
            <w:tcW w:w="1816" w:type="dxa"/>
            <w:tcBorders>
              <w:top w:val="nil"/>
              <w:left w:val="nil"/>
              <w:bottom w:val="nil"/>
              <w:right w:val="single" w:sz="4" w:space="0" w:color="auto"/>
            </w:tcBorders>
            <w:shd w:val="clear" w:color="auto" w:fill="FFFFFF"/>
            <w:noWrap/>
            <w:vAlign w:val="center"/>
            <w:hideMark/>
          </w:tcPr>
          <w:p w14:paraId="46C131AD" w14:textId="77777777" w:rsidR="00DF5526" w:rsidRDefault="00DF5526">
            <w:pPr>
              <w:pStyle w:val="WhitneyBod"/>
              <w:tabs>
                <w:tab w:val="left" w:pos="257"/>
              </w:tabs>
              <w:spacing w:after="0" w:line="256" w:lineRule="auto"/>
              <w:ind w:right="0"/>
              <w:jc w:val="left"/>
              <w:rPr>
                <w:rFonts w:ascii="Arial" w:hAnsi="Arial"/>
                <w:color w:val="000000"/>
                <w:lang w:eastAsia="zh-TW"/>
              </w:rPr>
            </w:pPr>
            <w:r>
              <w:rPr>
                <w:rFonts w:ascii="Arial" w:hAnsi="Arial"/>
                <w:color w:val="000000"/>
                <w:lang w:eastAsia="zh-TW"/>
              </w:rPr>
              <w:t xml:space="preserve">   New Zealand</w:t>
            </w:r>
          </w:p>
        </w:tc>
        <w:tc>
          <w:tcPr>
            <w:tcW w:w="829" w:type="dxa"/>
            <w:tcBorders>
              <w:top w:val="nil"/>
              <w:left w:val="single" w:sz="4" w:space="0" w:color="auto"/>
              <w:bottom w:val="nil"/>
              <w:right w:val="nil"/>
            </w:tcBorders>
            <w:shd w:val="clear" w:color="auto" w:fill="FFFFFF"/>
          </w:tcPr>
          <w:p w14:paraId="7C9B89CB" w14:textId="77777777" w:rsidR="00DF5526" w:rsidRDefault="00DF5526">
            <w:pPr>
              <w:pStyle w:val="WhitneyBod"/>
              <w:spacing w:after="0" w:line="256" w:lineRule="auto"/>
              <w:ind w:right="0"/>
              <w:jc w:val="left"/>
              <w:rPr>
                <w:rFonts w:ascii="Arial" w:hAnsi="Arial"/>
                <w:b/>
                <w:i/>
                <w:color w:val="000000"/>
                <w:lang w:eastAsia="zh-TW"/>
              </w:rPr>
            </w:pPr>
          </w:p>
        </w:tc>
        <w:tc>
          <w:tcPr>
            <w:tcW w:w="1660" w:type="dxa"/>
            <w:shd w:val="clear" w:color="auto" w:fill="FFFFFF"/>
            <w:noWrap/>
            <w:vAlign w:val="center"/>
            <w:hideMark/>
          </w:tcPr>
          <w:p w14:paraId="760229AD" w14:textId="77777777" w:rsidR="00DF5526" w:rsidRDefault="00DF5526">
            <w:pPr>
              <w:pStyle w:val="WhitneyBod"/>
              <w:spacing w:after="0" w:line="256" w:lineRule="auto"/>
              <w:ind w:right="0"/>
              <w:jc w:val="left"/>
              <w:rPr>
                <w:rFonts w:ascii="Arial" w:hAnsi="Arial"/>
                <w:color w:val="000000"/>
                <w:lang w:eastAsia="zh-TW"/>
              </w:rPr>
            </w:pPr>
            <w:r>
              <w:rPr>
                <w:rFonts w:ascii="Arial" w:hAnsi="Arial"/>
                <w:b/>
                <w:i/>
                <w:color w:val="000000"/>
                <w:lang w:eastAsia="zh-TW"/>
              </w:rPr>
              <w:t>Americas</w:t>
            </w:r>
          </w:p>
        </w:tc>
      </w:tr>
      <w:tr w:rsidR="00DF5526" w14:paraId="6B728D32" w14:textId="77777777" w:rsidTr="002141CF">
        <w:trPr>
          <w:trHeight w:val="20"/>
          <w:jc w:val="center"/>
        </w:trPr>
        <w:tc>
          <w:tcPr>
            <w:tcW w:w="998" w:type="dxa"/>
            <w:shd w:val="clear" w:color="auto" w:fill="FFFFFF"/>
            <w:noWrap/>
            <w:vAlign w:val="center"/>
            <w:hideMark/>
          </w:tcPr>
          <w:p w14:paraId="17550317" w14:textId="77777777" w:rsidR="00DF5526" w:rsidRDefault="00DF5526">
            <w:pPr>
              <w:rPr>
                <w:rFonts w:ascii="Arial" w:hAnsi="Arial"/>
                <w:color w:val="000000"/>
                <w:lang w:eastAsia="zh-TW"/>
              </w:rPr>
            </w:pPr>
          </w:p>
        </w:tc>
        <w:tc>
          <w:tcPr>
            <w:tcW w:w="972" w:type="dxa"/>
            <w:shd w:val="clear" w:color="auto" w:fill="FFFFFF"/>
            <w:noWrap/>
            <w:vAlign w:val="center"/>
            <w:hideMark/>
          </w:tcPr>
          <w:p w14:paraId="33645855"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2B9D7997"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534E5EFC" w14:textId="77777777" w:rsidR="00DF5526" w:rsidRDefault="00DF5526">
            <w:pPr>
              <w:pStyle w:val="WhitneyBod"/>
              <w:tabs>
                <w:tab w:val="left" w:pos="216"/>
              </w:tabs>
              <w:spacing w:after="0" w:line="256" w:lineRule="auto"/>
              <w:ind w:right="0"/>
              <w:jc w:val="left"/>
              <w:rPr>
                <w:rFonts w:ascii="Arial" w:hAnsi="Arial"/>
                <w:color w:val="000000"/>
                <w:lang w:eastAsia="zh-TW"/>
              </w:rPr>
            </w:pPr>
            <w:r>
              <w:rPr>
                <w:rFonts w:ascii="Arial" w:hAnsi="Arial"/>
                <w:color w:val="000000"/>
                <w:lang w:eastAsia="zh-TW"/>
              </w:rPr>
              <w:t>Ireland</w:t>
            </w:r>
          </w:p>
        </w:tc>
        <w:tc>
          <w:tcPr>
            <w:tcW w:w="1816" w:type="dxa"/>
            <w:tcBorders>
              <w:top w:val="nil"/>
              <w:left w:val="nil"/>
              <w:bottom w:val="nil"/>
              <w:right w:val="single" w:sz="4" w:space="0" w:color="auto"/>
            </w:tcBorders>
            <w:shd w:val="clear" w:color="auto" w:fill="FFFFFF"/>
            <w:noWrap/>
            <w:vAlign w:val="center"/>
            <w:hideMark/>
          </w:tcPr>
          <w:p w14:paraId="009ECE2E" w14:textId="77777777" w:rsidR="00DF5526" w:rsidRDefault="00DF5526">
            <w:pPr>
              <w:pStyle w:val="WhitneyBod"/>
              <w:spacing w:after="0" w:line="256" w:lineRule="auto"/>
              <w:ind w:right="0"/>
              <w:jc w:val="left"/>
              <w:rPr>
                <w:rFonts w:ascii="Arial" w:hAnsi="Arial"/>
                <w:color w:val="000000"/>
                <w:lang w:eastAsia="zh-TW"/>
              </w:rPr>
            </w:pPr>
            <w:r>
              <w:rPr>
                <w:rFonts w:ascii="Arial" w:hAnsi="Arial"/>
                <w:color w:val="000000"/>
                <w:lang w:eastAsia="zh-TW"/>
              </w:rPr>
              <w:t xml:space="preserve">   Singapore</w:t>
            </w:r>
          </w:p>
        </w:tc>
        <w:tc>
          <w:tcPr>
            <w:tcW w:w="829" w:type="dxa"/>
            <w:tcBorders>
              <w:top w:val="nil"/>
              <w:left w:val="single" w:sz="4" w:space="0" w:color="auto"/>
              <w:bottom w:val="nil"/>
              <w:right w:val="nil"/>
            </w:tcBorders>
            <w:shd w:val="clear" w:color="auto" w:fill="FFFFFF"/>
          </w:tcPr>
          <w:p w14:paraId="67586C03" w14:textId="77777777" w:rsidR="00DF5526" w:rsidRDefault="00DF5526">
            <w:pPr>
              <w:pStyle w:val="WhitneyBod"/>
              <w:spacing w:after="0" w:line="256" w:lineRule="auto"/>
              <w:ind w:left="130" w:right="0"/>
              <w:jc w:val="left"/>
              <w:rPr>
                <w:rFonts w:ascii="Arial" w:hAnsi="Arial"/>
                <w:color w:val="000000"/>
                <w:lang w:eastAsia="zh-TW"/>
              </w:rPr>
            </w:pPr>
          </w:p>
        </w:tc>
        <w:tc>
          <w:tcPr>
            <w:tcW w:w="1660" w:type="dxa"/>
            <w:shd w:val="clear" w:color="auto" w:fill="FFFFFF"/>
            <w:noWrap/>
            <w:vAlign w:val="center"/>
            <w:hideMark/>
          </w:tcPr>
          <w:p w14:paraId="46349CDC" w14:textId="77777777" w:rsidR="00DF5526" w:rsidRDefault="00DF5526">
            <w:pPr>
              <w:pStyle w:val="WhitneyBod"/>
              <w:spacing w:after="0" w:line="256" w:lineRule="auto"/>
              <w:ind w:left="130" w:right="0"/>
              <w:jc w:val="left"/>
              <w:rPr>
                <w:rFonts w:ascii="Arial" w:hAnsi="Arial"/>
                <w:b/>
                <w:i/>
                <w:color w:val="000000"/>
                <w:lang w:eastAsia="zh-TW"/>
              </w:rPr>
            </w:pPr>
            <w:r>
              <w:rPr>
                <w:rFonts w:ascii="Arial" w:hAnsi="Arial"/>
                <w:color w:val="000000"/>
                <w:lang w:eastAsia="zh-TW"/>
              </w:rPr>
              <w:t>Chile</w:t>
            </w:r>
          </w:p>
        </w:tc>
      </w:tr>
      <w:tr w:rsidR="00DF5526" w14:paraId="0BB44E91" w14:textId="77777777" w:rsidTr="002141CF">
        <w:trPr>
          <w:trHeight w:val="20"/>
          <w:jc w:val="center"/>
        </w:trPr>
        <w:tc>
          <w:tcPr>
            <w:tcW w:w="998" w:type="dxa"/>
            <w:shd w:val="clear" w:color="auto" w:fill="FFFFFF"/>
            <w:noWrap/>
            <w:vAlign w:val="center"/>
            <w:hideMark/>
          </w:tcPr>
          <w:p w14:paraId="249F98DF" w14:textId="77777777" w:rsidR="00DF5526" w:rsidRDefault="00DF5526">
            <w:pPr>
              <w:rPr>
                <w:rFonts w:ascii="Arial" w:hAnsi="Arial"/>
                <w:b/>
                <w:i/>
                <w:color w:val="000000"/>
                <w:lang w:eastAsia="zh-TW"/>
              </w:rPr>
            </w:pPr>
          </w:p>
        </w:tc>
        <w:tc>
          <w:tcPr>
            <w:tcW w:w="972" w:type="dxa"/>
            <w:shd w:val="clear" w:color="auto" w:fill="FFFFFF"/>
            <w:noWrap/>
            <w:vAlign w:val="center"/>
            <w:hideMark/>
          </w:tcPr>
          <w:p w14:paraId="19B87775"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54CB922D"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20B3BDEA" w14:textId="77777777" w:rsidR="00DF5526" w:rsidRDefault="00DF5526">
            <w:pPr>
              <w:pStyle w:val="WhitneyBod"/>
              <w:tabs>
                <w:tab w:val="left" w:pos="201"/>
              </w:tabs>
              <w:spacing w:after="0" w:line="256" w:lineRule="auto"/>
              <w:ind w:right="0"/>
              <w:jc w:val="left"/>
              <w:rPr>
                <w:rFonts w:ascii="Arial" w:hAnsi="Arial"/>
                <w:color w:val="000000"/>
                <w:lang w:eastAsia="zh-TW"/>
              </w:rPr>
            </w:pPr>
            <w:r>
              <w:rPr>
                <w:rFonts w:ascii="Arial" w:hAnsi="Arial"/>
                <w:color w:val="000000"/>
                <w:lang w:eastAsia="zh-TW"/>
              </w:rPr>
              <w:t>Italy</w:t>
            </w:r>
          </w:p>
        </w:tc>
        <w:tc>
          <w:tcPr>
            <w:tcW w:w="1816" w:type="dxa"/>
            <w:tcBorders>
              <w:top w:val="nil"/>
              <w:left w:val="nil"/>
              <w:bottom w:val="nil"/>
              <w:right w:val="single" w:sz="4" w:space="0" w:color="auto"/>
            </w:tcBorders>
            <w:shd w:val="clear" w:color="auto" w:fill="FFFFFF"/>
            <w:noWrap/>
            <w:vAlign w:val="center"/>
            <w:hideMark/>
          </w:tcPr>
          <w:p w14:paraId="2A896D43" w14:textId="77777777" w:rsidR="00DF5526" w:rsidRDefault="00DF5526">
            <w:pPr>
              <w:rPr>
                <w:rFonts w:ascii="Arial" w:hAnsi="Arial"/>
                <w:color w:val="000000"/>
                <w:lang w:eastAsia="zh-TW"/>
              </w:rPr>
            </w:pPr>
          </w:p>
        </w:tc>
        <w:tc>
          <w:tcPr>
            <w:tcW w:w="829" w:type="dxa"/>
            <w:tcBorders>
              <w:top w:val="nil"/>
              <w:left w:val="single" w:sz="4" w:space="0" w:color="auto"/>
              <w:bottom w:val="nil"/>
              <w:right w:val="nil"/>
            </w:tcBorders>
            <w:shd w:val="clear" w:color="auto" w:fill="FFFFFF"/>
          </w:tcPr>
          <w:p w14:paraId="7531601B" w14:textId="77777777" w:rsidR="00DF5526" w:rsidRDefault="00DF5526">
            <w:pPr>
              <w:pStyle w:val="WhitneyBod"/>
              <w:tabs>
                <w:tab w:val="left" w:pos="131"/>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0240D191"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ab/>
              <w:t>Colombia</w:t>
            </w:r>
          </w:p>
        </w:tc>
      </w:tr>
      <w:tr w:rsidR="00DF5526" w14:paraId="192BF9C8" w14:textId="77777777" w:rsidTr="002141CF">
        <w:trPr>
          <w:trHeight w:val="20"/>
          <w:jc w:val="center"/>
        </w:trPr>
        <w:tc>
          <w:tcPr>
            <w:tcW w:w="998" w:type="dxa"/>
            <w:shd w:val="clear" w:color="auto" w:fill="FFFFFF"/>
            <w:noWrap/>
            <w:vAlign w:val="center"/>
            <w:hideMark/>
          </w:tcPr>
          <w:p w14:paraId="1F36CE92" w14:textId="77777777" w:rsidR="00DF5526" w:rsidRDefault="00DF5526">
            <w:pPr>
              <w:rPr>
                <w:rFonts w:ascii="Arial" w:hAnsi="Arial"/>
                <w:color w:val="000000"/>
                <w:lang w:eastAsia="zh-TW"/>
              </w:rPr>
            </w:pPr>
          </w:p>
        </w:tc>
        <w:tc>
          <w:tcPr>
            <w:tcW w:w="972" w:type="dxa"/>
            <w:shd w:val="clear" w:color="auto" w:fill="FFFFFF"/>
            <w:noWrap/>
            <w:vAlign w:val="center"/>
            <w:hideMark/>
          </w:tcPr>
          <w:p w14:paraId="149F82DC"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466BF59F"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36BA9FBA" w14:textId="77777777" w:rsidR="00DF5526" w:rsidRDefault="00DF5526">
            <w:pPr>
              <w:pStyle w:val="WhitneyBod"/>
              <w:tabs>
                <w:tab w:val="left" w:pos="201"/>
              </w:tabs>
              <w:spacing w:after="0" w:line="256" w:lineRule="auto"/>
              <w:ind w:right="0"/>
              <w:jc w:val="left"/>
              <w:rPr>
                <w:rFonts w:ascii="Arial" w:hAnsi="Arial"/>
                <w:color w:val="000000"/>
                <w:lang w:eastAsia="zh-TW"/>
              </w:rPr>
            </w:pPr>
            <w:r>
              <w:rPr>
                <w:rFonts w:ascii="Arial" w:hAnsi="Arial"/>
                <w:color w:val="000000"/>
                <w:lang w:eastAsia="zh-TW"/>
              </w:rPr>
              <w:t>Netherlands</w:t>
            </w:r>
          </w:p>
        </w:tc>
        <w:tc>
          <w:tcPr>
            <w:tcW w:w="1816" w:type="dxa"/>
            <w:tcBorders>
              <w:top w:val="nil"/>
              <w:left w:val="nil"/>
              <w:bottom w:val="nil"/>
              <w:right w:val="single" w:sz="4" w:space="0" w:color="auto"/>
            </w:tcBorders>
            <w:shd w:val="clear" w:color="auto" w:fill="FFFFFF"/>
            <w:noWrap/>
            <w:vAlign w:val="center"/>
            <w:hideMark/>
          </w:tcPr>
          <w:p w14:paraId="308E8554" w14:textId="77777777" w:rsidR="00DF5526" w:rsidRDefault="00DF5526">
            <w:pPr>
              <w:rPr>
                <w:rFonts w:ascii="Arial" w:hAnsi="Arial"/>
                <w:color w:val="000000"/>
                <w:lang w:eastAsia="zh-TW"/>
              </w:rPr>
            </w:pPr>
          </w:p>
        </w:tc>
        <w:tc>
          <w:tcPr>
            <w:tcW w:w="829" w:type="dxa"/>
            <w:tcBorders>
              <w:top w:val="nil"/>
              <w:left w:val="single" w:sz="4" w:space="0" w:color="auto"/>
              <w:bottom w:val="nil"/>
              <w:right w:val="nil"/>
            </w:tcBorders>
            <w:shd w:val="clear" w:color="auto" w:fill="FFFFFF"/>
          </w:tcPr>
          <w:p w14:paraId="669DAA6D" w14:textId="77777777" w:rsidR="00DF5526" w:rsidRDefault="00DF5526">
            <w:pPr>
              <w:pStyle w:val="WhitneyBod"/>
              <w:tabs>
                <w:tab w:val="left" w:pos="131"/>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499FF94E"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ab/>
              <w:t>Mexico</w:t>
            </w:r>
          </w:p>
        </w:tc>
      </w:tr>
      <w:tr w:rsidR="00DF5526" w14:paraId="318B7627" w14:textId="77777777" w:rsidTr="002141CF">
        <w:trPr>
          <w:trHeight w:val="20"/>
          <w:jc w:val="center"/>
        </w:trPr>
        <w:tc>
          <w:tcPr>
            <w:tcW w:w="998" w:type="dxa"/>
            <w:shd w:val="clear" w:color="auto" w:fill="FFFFFF"/>
            <w:noWrap/>
            <w:vAlign w:val="center"/>
            <w:hideMark/>
          </w:tcPr>
          <w:p w14:paraId="471A3C55" w14:textId="77777777" w:rsidR="00DF5526" w:rsidRDefault="00DF5526">
            <w:pPr>
              <w:rPr>
                <w:rFonts w:ascii="Arial" w:hAnsi="Arial"/>
                <w:color w:val="000000"/>
                <w:lang w:eastAsia="zh-TW"/>
              </w:rPr>
            </w:pPr>
          </w:p>
        </w:tc>
        <w:tc>
          <w:tcPr>
            <w:tcW w:w="972" w:type="dxa"/>
            <w:shd w:val="clear" w:color="auto" w:fill="FFFFFF"/>
            <w:noWrap/>
            <w:vAlign w:val="center"/>
            <w:hideMark/>
          </w:tcPr>
          <w:p w14:paraId="54895814"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3404D0E2"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37CE2ADF" w14:textId="77777777" w:rsidR="00DF5526" w:rsidRDefault="00DF5526">
            <w:pPr>
              <w:pStyle w:val="WhitneyBod"/>
              <w:tabs>
                <w:tab w:val="left" w:pos="201"/>
              </w:tabs>
              <w:spacing w:after="0" w:line="256" w:lineRule="auto"/>
              <w:ind w:right="0"/>
              <w:jc w:val="left"/>
              <w:rPr>
                <w:rFonts w:ascii="Arial" w:hAnsi="Arial"/>
                <w:color w:val="000000"/>
                <w:lang w:eastAsia="zh-TW"/>
              </w:rPr>
            </w:pPr>
            <w:r>
              <w:rPr>
                <w:rFonts w:ascii="Arial" w:hAnsi="Arial"/>
                <w:color w:val="000000"/>
                <w:lang w:eastAsia="zh-TW"/>
              </w:rPr>
              <w:t>Norway</w:t>
            </w:r>
          </w:p>
        </w:tc>
        <w:tc>
          <w:tcPr>
            <w:tcW w:w="1816" w:type="dxa"/>
            <w:tcBorders>
              <w:top w:val="nil"/>
              <w:left w:val="nil"/>
              <w:bottom w:val="nil"/>
              <w:right w:val="single" w:sz="4" w:space="0" w:color="auto"/>
            </w:tcBorders>
            <w:shd w:val="clear" w:color="auto" w:fill="FFFFFF"/>
            <w:noWrap/>
            <w:vAlign w:val="center"/>
            <w:hideMark/>
          </w:tcPr>
          <w:p w14:paraId="7B4F6C66" w14:textId="77777777" w:rsidR="00DF5526" w:rsidRDefault="00DF5526">
            <w:pPr>
              <w:rPr>
                <w:rFonts w:ascii="Arial" w:hAnsi="Arial"/>
                <w:color w:val="000000"/>
                <w:lang w:eastAsia="zh-TW"/>
              </w:rPr>
            </w:pPr>
          </w:p>
        </w:tc>
        <w:tc>
          <w:tcPr>
            <w:tcW w:w="829" w:type="dxa"/>
            <w:tcBorders>
              <w:top w:val="nil"/>
              <w:left w:val="single" w:sz="4" w:space="0" w:color="auto"/>
              <w:bottom w:val="nil"/>
              <w:right w:val="nil"/>
            </w:tcBorders>
            <w:shd w:val="clear" w:color="auto" w:fill="FFFFFF"/>
          </w:tcPr>
          <w:p w14:paraId="30FE7885" w14:textId="77777777" w:rsidR="00DF5526" w:rsidRDefault="00DF5526">
            <w:pPr>
              <w:pStyle w:val="WhitneyBod"/>
              <w:tabs>
                <w:tab w:val="left" w:pos="131"/>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2D625CB6"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ab/>
              <w:t>Peru</w:t>
            </w:r>
          </w:p>
        </w:tc>
      </w:tr>
      <w:tr w:rsidR="00DF5526" w14:paraId="76784A69" w14:textId="77777777" w:rsidTr="002141CF">
        <w:trPr>
          <w:trHeight w:val="20"/>
          <w:jc w:val="center"/>
        </w:trPr>
        <w:tc>
          <w:tcPr>
            <w:tcW w:w="998" w:type="dxa"/>
            <w:shd w:val="clear" w:color="auto" w:fill="FFFFFF"/>
            <w:noWrap/>
            <w:vAlign w:val="center"/>
            <w:hideMark/>
          </w:tcPr>
          <w:p w14:paraId="4E408D4F" w14:textId="77777777" w:rsidR="00DF5526" w:rsidRDefault="00DF5526">
            <w:pPr>
              <w:rPr>
                <w:rFonts w:ascii="Arial" w:hAnsi="Arial"/>
                <w:color w:val="000000"/>
                <w:lang w:eastAsia="zh-TW"/>
              </w:rPr>
            </w:pPr>
          </w:p>
        </w:tc>
        <w:tc>
          <w:tcPr>
            <w:tcW w:w="972" w:type="dxa"/>
            <w:shd w:val="clear" w:color="auto" w:fill="FFFFFF"/>
            <w:noWrap/>
            <w:vAlign w:val="center"/>
            <w:hideMark/>
          </w:tcPr>
          <w:p w14:paraId="1D79F30E"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6A6E3461"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20DC5458" w14:textId="77777777" w:rsidR="00DF5526" w:rsidRDefault="00DF5526">
            <w:pPr>
              <w:pStyle w:val="WhitneyBod"/>
              <w:tabs>
                <w:tab w:val="left" w:pos="201"/>
              </w:tabs>
              <w:spacing w:after="0" w:line="256" w:lineRule="auto"/>
              <w:ind w:right="0"/>
              <w:jc w:val="left"/>
              <w:rPr>
                <w:rFonts w:ascii="Arial" w:hAnsi="Arial"/>
                <w:color w:val="000000"/>
                <w:lang w:eastAsia="zh-TW"/>
              </w:rPr>
            </w:pPr>
            <w:r>
              <w:rPr>
                <w:rFonts w:ascii="Arial" w:hAnsi="Arial"/>
                <w:color w:val="000000"/>
                <w:lang w:eastAsia="zh-TW"/>
              </w:rPr>
              <w:t>Portugal</w:t>
            </w:r>
          </w:p>
        </w:tc>
        <w:tc>
          <w:tcPr>
            <w:tcW w:w="1816" w:type="dxa"/>
            <w:tcBorders>
              <w:top w:val="nil"/>
              <w:left w:val="nil"/>
              <w:bottom w:val="nil"/>
              <w:right w:val="single" w:sz="4" w:space="0" w:color="auto"/>
            </w:tcBorders>
            <w:shd w:val="clear" w:color="auto" w:fill="FFFFFF"/>
            <w:noWrap/>
            <w:vAlign w:val="center"/>
            <w:hideMark/>
          </w:tcPr>
          <w:p w14:paraId="3F9C650C" w14:textId="77777777" w:rsidR="00DF5526" w:rsidRDefault="00DF5526">
            <w:pPr>
              <w:rPr>
                <w:rFonts w:ascii="Arial" w:hAnsi="Arial"/>
                <w:color w:val="000000"/>
                <w:lang w:eastAsia="zh-TW"/>
              </w:rPr>
            </w:pPr>
          </w:p>
        </w:tc>
        <w:tc>
          <w:tcPr>
            <w:tcW w:w="829" w:type="dxa"/>
            <w:tcBorders>
              <w:top w:val="nil"/>
              <w:left w:val="single" w:sz="4" w:space="0" w:color="auto"/>
              <w:bottom w:val="nil"/>
              <w:right w:val="nil"/>
            </w:tcBorders>
            <w:shd w:val="clear" w:color="auto" w:fill="FFFFFF"/>
          </w:tcPr>
          <w:p w14:paraId="6DDD5639" w14:textId="77777777" w:rsidR="00DF5526" w:rsidRDefault="00DF5526">
            <w:pPr>
              <w:pStyle w:val="WhitneyBod"/>
              <w:tabs>
                <w:tab w:val="left" w:pos="131"/>
              </w:tabs>
              <w:spacing w:after="0" w:line="256" w:lineRule="auto"/>
              <w:ind w:right="0"/>
              <w:jc w:val="left"/>
              <w:rPr>
                <w:rFonts w:ascii="Arial" w:hAnsi="Arial"/>
                <w:b/>
                <w:i/>
                <w:color w:val="000000"/>
                <w:lang w:eastAsia="zh-TW"/>
              </w:rPr>
            </w:pPr>
          </w:p>
        </w:tc>
        <w:tc>
          <w:tcPr>
            <w:tcW w:w="1660" w:type="dxa"/>
            <w:shd w:val="clear" w:color="auto" w:fill="FFFFFF"/>
            <w:noWrap/>
            <w:vAlign w:val="center"/>
            <w:hideMark/>
          </w:tcPr>
          <w:p w14:paraId="5F41B2E1"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b/>
                <w:i/>
                <w:color w:val="000000"/>
                <w:lang w:eastAsia="zh-TW"/>
              </w:rPr>
              <w:t>EMEA</w:t>
            </w:r>
          </w:p>
        </w:tc>
      </w:tr>
      <w:tr w:rsidR="00DF5526" w14:paraId="12E78546" w14:textId="77777777" w:rsidTr="002141CF">
        <w:trPr>
          <w:trHeight w:val="20"/>
          <w:jc w:val="center"/>
        </w:trPr>
        <w:tc>
          <w:tcPr>
            <w:tcW w:w="998" w:type="dxa"/>
            <w:shd w:val="clear" w:color="auto" w:fill="FFFFFF"/>
            <w:noWrap/>
            <w:vAlign w:val="center"/>
            <w:hideMark/>
          </w:tcPr>
          <w:p w14:paraId="7FCB94D4" w14:textId="77777777" w:rsidR="00DF5526" w:rsidRDefault="00DF5526">
            <w:pPr>
              <w:rPr>
                <w:rFonts w:ascii="Arial" w:hAnsi="Arial"/>
                <w:color w:val="000000"/>
                <w:lang w:eastAsia="zh-TW"/>
              </w:rPr>
            </w:pPr>
          </w:p>
        </w:tc>
        <w:tc>
          <w:tcPr>
            <w:tcW w:w="972" w:type="dxa"/>
            <w:shd w:val="clear" w:color="auto" w:fill="FFFFFF"/>
            <w:noWrap/>
            <w:vAlign w:val="center"/>
            <w:hideMark/>
          </w:tcPr>
          <w:p w14:paraId="40197E6E"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2D140DB7"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755EF174" w14:textId="77777777" w:rsidR="00DF5526" w:rsidRDefault="00DF5526">
            <w:pPr>
              <w:pStyle w:val="WhitneyBod"/>
              <w:tabs>
                <w:tab w:val="left" w:pos="201"/>
              </w:tabs>
              <w:spacing w:after="0" w:line="256" w:lineRule="auto"/>
              <w:ind w:right="0"/>
              <w:jc w:val="left"/>
              <w:rPr>
                <w:rFonts w:ascii="Arial" w:hAnsi="Arial"/>
                <w:color w:val="000000"/>
                <w:lang w:eastAsia="zh-TW"/>
              </w:rPr>
            </w:pPr>
            <w:r>
              <w:rPr>
                <w:rFonts w:ascii="Arial" w:hAnsi="Arial"/>
                <w:color w:val="000000"/>
                <w:lang w:eastAsia="zh-TW"/>
              </w:rPr>
              <w:t>Spain</w:t>
            </w:r>
          </w:p>
        </w:tc>
        <w:tc>
          <w:tcPr>
            <w:tcW w:w="1816" w:type="dxa"/>
            <w:tcBorders>
              <w:top w:val="nil"/>
              <w:left w:val="nil"/>
              <w:bottom w:val="nil"/>
              <w:right w:val="single" w:sz="4" w:space="0" w:color="auto"/>
            </w:tcBorders>
            <w:shd w:val="clear" w:color="auto" w:fill="FFFFFF"/>
            <w:noWrap/>
            <w:vAlign w:val="center"/>
            <w:hideMark/>
          </w:tcPr>
          <w:p w14:paraId="5661F663" w14:textId="77777777" w:rsidR="00DF5526" w:rsidRDefault="00DF5526">
            <w:pPr>
              <w:rPr>
                <w:rFonts w:ascii="Arial" w:hAnsi="Arial"/>
                <w:color w:val="000000"/>
                <w:lang w:eastAsia="zh-TW"/>
              </w:rPr>
            </w:pPr>
          </w:p>
        </w:tc>
        <w:tc>
          <w:tcPr>
            <w:tcW w:w="829" w:type="dxa"/>
            <w:tcBorders>
              <w:top w:val="nil"/>
              <w:left w:val="single" w:sz="4" w:space="0" w:color="auto"/>
              <w:bottom w:val="nil"/>
              <w:right w:val="nil"/>
            </w:tcBorders>
            <w:shd w:val="clear" w:color="auto" w:fill="FFFFFF"/>
          </w:tcPr>
          <w:p w14:paraId="07360890" w14:textId="77777777" w:rsidR="00DF5526" w:rsidRDefault="00DF5526">
            <w:pPr>
              <w:pStyle w:val="WhitneyBod"/>
              <w:spacing w:after="0" w:line="256" w:lineRule="auto"/>
              <w:ind w:left="130" w:right="0"/>
              <w:jc w:val="left"/>
              <w:rPr>
                <w:rFonts w:ascii="Arial" w:hAnsi="Arial"/>
                <w:color w:val="000000"/>
                <w:lang w:eastAsia="zh-TW"/>
              </w:rPr>
            </w:pPr>
          </w:p>
        </w:tc>
        <w:tc>
          <w:tcPr>
            <w:tcW w:w="1660" w:type="dxa"/>
            <w:shd w:val="clear" w:color="auto" w:fill="FFFFFF"/>
            <w:noWrap/>
            <w:vAlign w:val="center"/>
            <w:hideMark/>
          </w:tcPr>
          <w:p w14:paraId="3EF33290" w14:textId="77777777" w:rsidR="00DF5526" w:rsidRDefault="00DF5526">
            <w:pPr>
              <w:pStyle w:val="WhitneyBod"/>
              <w:spacing w:after="0" w:line="256" w:lineRule="auto"/>
              <w:ind w:left="130" w:right="0"/>
              <w:jc w:val="left"/>
              <w:rPr>
                <w:rFonts w:ascii="Arial" w:hAnsi="Arial"/>
                <w:b/>
                <w:i/>
                <w:color w:val="000000"/>
                <w:lang w:eastAsia="zh-TW"/>
              </w:rPr>
            </w:pPr>
            <w:r>
              <w:rPr>
                <w:rFonts w:ascii="Arial" w:hAnsi="Arial"/>
                <w:color w:val="000000"/>
                <w:lang w:eastAsia="zh-TW"/>
              </w:rPr>
              <w:t>Czech Republic</w:t>
            </w:r>
          </w:p>
        </w:tc>
      </w:tr>
      <w:tr w:rsidR="00DF5526" w14:paraId="39BEDB8D" w14:textId="77777777" w:rsidTr="002141CF">
        <w:trPr>
          <w:trHeight w:val="20"/>
          <w:jc w:val="center"/>
        </w:trPr>
        <w:tc>
          <w:tcPr>
            <w:tcW w:w="998" w:type="dxa"/>
            <w:shd w:val="clear" w:color="auto" w:fill="FFFFFF"/>
            <w:noWrap/>
            <w:vAlign w:val="center"/>
            <w:hideMark/>
          </w:tcPr>
          <w:p w14:paraId="56F0826E" w14:textId="77777777" w:rsidR="00DF5526" w:rsidRDefault="00DF5526">
            <w:pPr>
              <w:rPr>
                <w:rFonts w:ascii="Arial" w:hAnsi="Arial"/>
                <w:b/>
                <w:i/>
                <w:color w:val="000000"/>
                <w:lang w:eastAsia="zh-TW"/>
              </w:rPr>
            </w:pPr>
          </w:p>
        </w:tc>
        <w:tc>
          <w:tcPr>
            <w:tcW w:w="972" w:type="dxa"/>
            <w:shd w:val="clear" w:color="auto" w:fill="FFFFFF"/>
            <w:noWrap/>
            <w:vAlign w:val="center"/>
            <w:hideMark/>
          </w:tcPr>
          <w:p w14:paraId="63C8920C"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2097B944"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77AB368C" w14:textId="77777777" w:rsidR="00DF5526" w:rsidRDefault="00DF5526">
            <w:pPr>
              <w:pStyle w:val="WhitneyBod"/>
              <w:tabs>
                <w:tab w:val="left" w:pos="201"/>
              </w:tabs>
              <w:spacing w:after="0" w:line="256" w:lineRule="auto"/>
              <w:ind w:right="0"/>
              <w:jc w:val="left"/>
              <w:rPr>
                <w:rFonts w:ascii="Arial" w:hAnsi="Arial"/>
                <w:color w:val="000000"/>
                <w:lang w:eastAsia="zh-TW"/>
              </w:rPr>
            </w:pPr>
            <w:r>
              <w:rPr>
                <w:rFonts w:ascii="Arial" w:hAnsi="Arial"/>
                <w:color w:val="000000"/>
                <w:lang w:eastAsia="zh-TW"/>
              </w:rPr>
              <w:t>Sweden</w:t>
            </w:r>
          </w:p>
        </w:tc>
        <w:tc>
          <w:tcPr>
            <w:tcW w:w="1816" w:type="dxa"/>
            <w:tcBorders>
              <w:top w:val="nil"/>
              <w:left w:val="nil"/>
              <w:bottom w:val="nil"/>
              <w:right w:val="single" w:sz="4" w:space="0" w:color="auto"/>
            </w:tcBorders>
            <w:shd w:val="clear" w:color="auto" w:fill="FFFFFF"/>
            <w:noWrap/>
            <w:vAlign w:val="center"/>
            <w:hideMark/>
          </w:tcPr>
          <w:p w14:paraId="7E5898AF" w14:textId="77777777" w:rsidR="00DF5526" w:rsidRDefault="00DF5526">
            <w:pPr>
              <w:rPr>
                <w:rFonts w:ascii="Arial" w:hAnsi="Arial"/>
                <w:color w:val="000000"/>
                <w:lang w:eastAsia="zh-TW"/>
              </w:rPr>
            </w:pPr>
          </w:p>
        </w:tc>
        <w:tc>
          <w:tcPr>
            <w:tcW w:w="829" w:type="dxa"/>
            <w:tcBorders>
              <w:top w:val="nil"/>
              <w:left w:val="single" w:sz="4" w:space="0" w:color="auto"/>
              <w:bottom w:val="nil"/>
              <w:right w:val="nil"/>
            </w:tcBorders>
          </w:tcPr>
          <w:p w14:paraId="27E66D48" w14:textId="77777777" w:rsidR="00DF5526" w:rsidRDefault="00DF5526">
            <w:pPr>
              <w:pStyle w:val="WhitneyBod"/>
              <w:tabs>
                <w:tab w:val="left" w:pos="131"/>
              </w:tabs>
              <w:spacing w:after="0" w:line="256" w:lineRule="auto"/>
              <w:ind w:right="0"/>
              <w:jc w:val="left"/>
              <w:rPr>
                <w:rFonts w:ascii="Arial" w:hAnsi="Arial"/>
                <w:color w:val="000000"/>
                <w:lang w:eastAsia="zh-TW"/>
              </w:rPr>
            </w:pPr>
          </w:p>
        </w:tc>
        <w:tc>
          <w:tcPr>
            <w:tcW w:w="1660" w:type="dxa"/>
            <w:noWrap/>
            <w:vAlign w:val="center"/>
            <w:hideMark/>
          </w:tcPr>
          <w:p w14:paraId="4DFB38CC"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ab/>
              <w:t>Egypt</w:t>
            </w:r>
          </w:p>
        </w:tc>
      </w:tr>
      <w:tr w:rsidR="00DF5526" w14:paraId="3001D4DD" w14:textId="77777777" w:rsidTr="002141CF">
        <w:trPr>
          <w:trHeight w:val="20"/>
          <w:jc w:val="center"/>
        </w:trPr>
        <w:tc>
          <w:tcPr>
            <w:tcW w:w="998" w:type="dxa"/>
            <w:shd w:val="clear" w:color="auto" w:fill="FFFFFF"/>
            <w:noWrap/>
            <w:vAlign w:val="center"/>
            <w:hideMark/>
          </w:tcPr>
          <w:p w14:paraId="69F98A36" w14:textId="77777777" w:rsidR="00DF5526" w:rsidRDefault="00DF5526">
            <w:pPr>
              <w:rPr>
                <w:rFonts w:ascii="Arial" w:hAnsi="Arial"/>
                <w:color w:val="000000"/>
                <w:lang w:eastAsia="zh-TW"/>
              </w:rPr>
            </w:pPr>
          </w:p>
        </w:tc>
        <w:tc>
          <w:tcPr>
            <w:tcW w:w="972" w:type="dxa"/>
            <w:shd w:val="clear" w:color="auto" w:fill="FFFFFF"/>
            <w:noWrap/>
            <w:vAlign w:val="center"/>
            <w:hideMark/>
          </w:tcPr>
          <w:p w14:paraId="2538193A"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742C9737"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6DB20E51" w14:textId="77777777" w:rsidR="00DF5526" w:rsidRDefault="00DF5526">
            <w:pPr>
              <w:pStyle w:val="WhitneyBod"/>
              <w:tabs>
                <w:tab w:val="left" w:pos="201"/>
              </w:tabs>
              <w:spacing w:after="0" w:line="256" w:lineRule="auto"/>
              <w:ind w:right="0"/>
              <w:jc w:val="left"/>
              <w:rPr>
                <w:rFonts w:ascii="Arial" w:hAnsi="Arial"/>
                <w:color w:val="000000"/>
                <w:lang w:eastAsia="zh-TW"/>
              </w:rPr>
            </w:pPr>
            <w:r>
              <w:rPr>
                <w:rFonts w:ascii="Arial" w:hAnsi="Arial"/>
                <w:color w:val="000000"/>
                <w:lang w:eastAsia="zh-TW"/>
              </w:rPr>
              <w:t>Switzerland</w:t>
            </w:r>
          </w:p>
        </w:tc>
        <w:tc>
          <w:tcPr>
            <w:tcW w:w="1816" w:type="dxa"/>
            <w:tcBorders>
              <w:top w:val="nil"/>
              <w:left w:val="nil"/>
              <w:bottom w:val="nil"/>
              <w:right w:val="single" w:sz="4" w:space="0" w:color="auto"/>
            </w:tcBorders>
            <w:shd w:val="clear" w:color="auto" w:fill="FFFFFF"/>
            <w:noWrap/>
            <w:vAlign w:val="center"/>
            <w:hideMark/>
          </w:tcPr>
          <w:p w14:paraId="62DC24A5" w14:textId="77777777" w:rsidR="00DF5526" w:rsidRDefault="00DF5526">
            <w:pPr>
              <w:rPr>
                <w:rFonts w:ascii="Arial" w:hAnsi="Arial"/>
                <w:color w:val="000000"/>
                <w:lang w:eastAsia="zh-TW"/>
              </w:rPr>
            </w:pPr>
          </w:p>
        </w:tc>
        <w:tc>
          <w:tcPr>
            <w:tcW w:w="829" w:type="dxa"/>
            <w:tcBorders>
              <w:top w:val="nil"/>
              <w:left w:val="single" w:sz="4" w:space="0" w:color="auto"/>
              <w:bottom w:val="nil"/>
              <w:right w:val="nil"/>
            </w:tcBorders>
            <w:shd w:val="clear" w:color="auto" w:fill="FFFFFF"/>
          </w:tcPr>
          <w:p w14:paraId="3276CB73" w14:textId="77777777" w:rsidR="00DF5526" w:rsidRDefault="00DF5526">
            <w:pPr>
              <w:pStyle w:val="WhitneyBod"/>
              <w:tabs>
                <w:tab w:val="left" w:pos="131"/>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1267B7C6"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ab/>
              <w:t>Greece</w:t>
            </w:r>
          </w:p>
        </w:tc>
      </w:tr>
      <w:tr w:rsidR="00DF5526" w14:paraId="2DE954F9" w14:textId="77777777" w:rsidTr="002141CF">
        <w:trPr>
          <w:trHeight w:val="20"/>
          <w:jc w:val="center"/>
        </w:trPr>
        <w:tc>
          <w:tcPr>
            <w:tcW w:w="998" w:type="dxa"/>
            <w:shd w:val="clear" w:color="auto" w:fill="FFFFFF"/>
            <w:noWrap/>
            <w:vAlign w:val="center"/>
            <w:hideMark/>
          </w:tcPr>
          <w:p w14:paraId="514FE306" w14:textId="77777777" w:rsidR="00DF5526" w:rsidRDefault="00DF5526">
            <w:pPr>
              <w:rPr>
                <w:rFonts w:ascii="Arial" w:hAnsi="Arial"/>
                <w:color w:val="000000"/>
                <w:lang w:eastAsia="zh-TW"/>
              </w:rPr>
            </w:pPr>
          </w:p>
        </w:tc>
        <w:tc>
          <w:tcPr>
            <w:tcW w:w="972" w:type="dxa"/>
            <w:shd w:val="clear" w:color="auto" w:fill="FFFFFF"/>
            <w:noWrap/>
            <w:vAlign w:val="center"/>
            <w:hideMark/>
          </w:tcPr>
          <w:p w14:paraId="00C534A0"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288090A1"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6739344C" w14:textId="77777777" w:rsidR="00DF5526" w:rsidRDefault="00DF5526">
            <w:pPr>
              <w:spacing w:before="0" w:after="0" w:line="256" w:lineRule="auto"/>
              <w:jc w:val="left"/>
              <w:rPr>
                <w:rFonts w:asciiTheme="minorHAnsi" w:eastAsiaTheme="minorHAnsi" w:hAnsiTheme="minorHAnsi" w:cstheme="minorBidi"/>
                <w:szCs w:val="20"/>
              </w:rPr>
            </w:pPr>
          </w:p>
        </w:tc>
        <w:tc>
          <w:tcPr>
            <w:tcW w:w="1816" w:type="dxa"/>
            <w:tcBorders>
              <w:top w:val="nil"/>
              <w:left w:val="nil"/>
              <w:bottom w:val="nil"/>
              <w:right w:val="single" w:sz="4" w:space="0" w:color="auto"/>
            </w:tcBorders>
            <w:shd w:val="clear" w:color="auto" w:fill="FFFFFF"/>
            <w:noWrap/>
            <w:vAlign w:val="center"/>
            <w:hideMark/>
          </w:tcPr>
          <w:p w14:paraId="18983BB7" w14:textId="77777777" w:rsidR="00DF5526" w:rsidRDefault="00DF5526">
            <w:pPr>
              <w:spacing w:before="0" w:after="0" w:line="256" w:lineRule="auto"/>
              <w:jc w:val="left"/>
              <w:rPr>
                <w:rFonts w:asciiTheme="minorHAnsi" w:eastAsiaTheme="minorHAnsi" w:hAnsiTheme="minorHAnsi" w:cstheme="minorBidi"/>
                <w:szCs w:val="20"/>
              </w:rPr>
            </w:pPr>
          </w:p>
        </w:tc>
        <w:tc>
          <w:tcPr>
            <w:tcW w:w="829" w:type="dxa"/>
            <w:tcBorders>
              <w:top w:val="nil"/>
              <w:left w:val="single" w:sz="4" w:space="0" w:color="auto"/>
              <w:bottom w:val="nil"/>
              <w:right w:val="nil"/>
            </w:tcBorders>
            <w:shd w:val="clear" w:color="auto" w:fill="FFFFFF"/>
          </w:tcPr>
          <w:p w14:paraId="23378D16" w14:textId="77777777" w:rsidR="00DF5526" w:rsidRDefault="00DF5526">
            <w:pPr>
              <w:pStyle w:val="WhitneyBod"/>
              <w:tabs>
                <w:tab w:val="left" w:pos="131"/>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252C41E9"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ab/>
              <w:t>Hungary</w:t>
            </w:r>
          </w:p>
        </w:tc>
      </w:tr>
      <w:tr w:rsidR="00DF5526" w14:paraId="4C60510F" w14:textId="77777777" w:rsidTr="002141CF">
        <w:trPr>
          <w:trHeight w:val="20"/>
          <w:jc w:val="center"/>
        </w:trPr>
        <w:tc>
          <w:tcPr>
            <w:tcW w:w="998" w:type="dxa"/>
            <w:shd w:val="clear" w:color="auto" w:fill="FFFFFF"/>
            <w:noWrap/>
            <w:vAlign w:val="center"/>
            <w:hideMark/>
          </w:tcPr>
          <w:p w14:paraId="6B6D9950" w14:textId="77777777" w:rsidR="00DF5526" w:rsidRDefault="00DF5526">
            <w:pPr>
              <w:rPr>
                <w:rFonts w:ascii="Arial" w:hAnsi="Arial"/>
                <w:color w:val="000000"/>
                <w:lang w:eastAsia="zh-TW"/>
              </w:rPr>
            </w:pPr>
          </w:p>
        </w:tc>
        <w:tc>
          <w:tcPr>
            <w:tcW w:w="972" w:type="dxa"/>
            <w:shd w:val="clear" w:color="auto" w:fill="FFFFFF"/>
            <w:noWrap/>
            <w:vAlign w:val="center"/>
            <w:hideMark/>
          </w:tcPr>
          <w:p w14:paraId="669F8F7E"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1250B150"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3CAF0A0D" w14:textId="77777777" w:rsidR="00DF5526" w:rsidRDefault="00DF5526">
            <w:pPr>
              <w:spacing w:before="0" w:after="0" w:line="256" w:lineRule="auto"/>
              <w:jc w:val="left"/>
              <w:rPr>
                <w:rFonts w:asciiTheme="minorHAnsi" w:eastAsiaTheme="minorHAnsi" w:hAnsiTheme="minorHAnsi" w:cstheme="minorBidi"/>
                <w:szCs w:val="20"/>
              </w:rPr>
            </w:pPr>
          </w:p>
        </w:tc>
        <w:tc>
          <w:tcPr>
            <w:tcW w:w="1816" w:type="dxa"/>
            <w:tcBorders>
              <w:top w:val="nil"/>
              <w:left w:val="nil"/>
              <w:bottom w:val="nil"/>
              <w:right w:val="single" w:sz="4" w:space="0" w:color="auto"/>
            </w:tcBorders>
            <w:shd w:val="clear" w:color="auto" w:fill="FFFFFF"/>
            <w:noWrap/>
            <w:vAlign w:val="center"/>
            <w:hideMark/>
          </w:tcPr>
          <w:p w14:paraId="22217336" w14:textId="77777777" w:rsidR="00DF5526" w:rsidRDefault="00DF5526">
            <w:pPr>
              <w:spacing w:before="0" w:after="0" w:line="256" w:lineRule="auto"/>
              <w:jc w:val="left"/>
              <w:rPr>
                <w:rFonts w:asciiTheme="minorHAnsi" w:eastAsiaTheme="minorHAnsi" w:hAnsiTheme="minorHAnsi" w:cstheme="minorBidi"/>
                <w:szCs w:val="20"/>
              </w:rPr>
            </w:pPr>
          </w:p>
        </w:tc>
        <w:tc>
          <w:tcPr>
            <w:tcW w:w="829" w:type="dxa"/>
            <w:tcBorders>
              <w:top w:val="nil"/>
              <w:left w:val="single" w:sz="4" w:space="0" w:color="auto"/>
              <w:bottom w:val="nil"/>
              <w:right w:val="nil"/>
            </w:tcBorders>
            <w:shd w:val="clear" w:color="auto" w:fill="FFFFFF"/>
          </w:tcPr>
          <w:p w14:paraId="784D93F7" w14:textId="77777777" w:rsidR="00DF5526" w:rsidRDefault="00DF5526">
            <w:pPr>
              <w:pStyle w:val="WhitneyBod"/>
              <w:tabs>
                <w:tab w:val="left" w:pos="131"/>
              </w:tabs>
              <w:spacing w:after="0" w:line="256" w:lineRule="auto"/>
              <w:ind w:left="130" w:right="0"/>
              <w:jc w:val="left"/>
              <w:rPr>
                <w:rFonts w:ascii="Arial" w:hAnsi="Arial"/>
                <w:color w:val="000000"/>
                <w:lang w:eastAsia="zh-TW"/>
              </w:rPr>
            </w:pPr>
          </w:p>
        </w:tc>
        <w:tc>
          <w:tcPr>
            <w:tcW w:w="1660" w:type="dxa"/>
            <w:shd w:val="clear" w:color="auto" w:fill="FFFFFF"/>
            <w:noWrap/>
            <w:vAlign w:val="center"/>
            <w:hideMark/>
          </w:tcPr>
          <w:p w14:paraId="53325128" w14:textId="77777777" w:rsidR="00DF5526" w:rsidRDefault="00DF5526">
            <w:pPr>
              <w:pStyle w:val="WhitneyBod"/>
              <w:tabs>
                <w:tab w:val="left" w:pos="131"/>
              </w:tabs>
              <w:spacing w:after="0" w:line="256" w:lineRule="auto"/>
              <w:ind w:left="130" w:right="0"/>
              <w:jc w:val="left"/>
              <w:rPr>
                <w:rFonts w:ascii="Arial" w:hAnsi="Arial"/>
                <w:color w:val="000000"/>
                <w:lang w:eastAsia="zh-TW"/>
              </w:rPr>
            </w:pPr>
            <w:r>
              <w:rPr>
                <w:rFonts w:ascii="Arial" w:hAnsi="Arial"/>
                <w:color w:val="000000"/>
                <w:lang w:eastAsia="zh-TW"/>
              </w:rPr>
              <w:t>Kuwait</w:t>
            </w:r>
          </w:p>
        </w:tc>
      </w:tr>
      <w:tr w:rsidR="00DF5526" w14:paraId="28C195A2" w14:textId="77777777" w:rsidTr="002141CF">
        <w:trPr>
          <w:trHeight w:val="20"/>
          <w:jc w:val="center"/>
        </w:trPr>
        <w:tc>
          <w:tcPr>
            <w:tcW w:w="998" w:type="dxa"/>
            <w:shd w:val="clear" w:color="auto" w:fill="FFFFFF"/>
            <w:noWrap/>
            <w:vAlign w:val="center"/>
          </w:tcPr>
          <w:p w14:paraId="26128B03" w14:textId="77777777" w:rsidR="00DF5526" w:rsidRDefault="00DF5526">
            <w:pPr>
              <w:pStyle w:val="WhitneyBod"/>
              <w:spacing w:after="0" w:line="256" w:lineRule="auto"/>
              <w:ind w:right="0"/>
              <w:jc w:val="left"/>
              <w:rPr>
                <w:rFonts w:ascii="Arial" w:hAnsi="Arial"/>
                <w:color w:val="000000"/>
                <w:lang w:eastAsia="zh-TW"/>
              </w:rPr>
            </w:pPr>
          </w:p>
        </w:tc>
        <w:tc>
          <w:tcPr>
            <w:tcW w:w="972" w:type="dxa"/>
            <w:shd w:val="clear" w:color="auto" w:fill="FFFFFF"/>
            <w:noWrap/>
            <w:vAlign w:val="center"/>
          </w:tcPr>
          <w:p w14:paraId="306BAE69" w14:textId="77777777" w:rsidR="00DF5526" w:rsidRDefault="00DF5526">
            <w:pPr>
              <w:pStyle w:val="WhitneyBod"/>
              <w:spacing w:after="0" w:line="256" w:lineRule="auto"/>
              <w:ind w:right="0"/>
              <w:jc w:val="left"/>
              <w:rPr>
                <w:rFonts w:ascii="Arial" w:hAnsi="Arial"/>
                <w:color w:val="000000"/>
                <w:lang w:eastAsia="zh-TW"/>
              </w:rPr>
            </w:pPr>
          </w:p>
        </w:tc>
        <w:tc>
          <w:tcPr>
            <w:tcW w:w="901" w:type="dxa"/>
            <w:shd w:val="clear" w:color="auto" w:fill="FFFFFF"/>
            <w:vAlign w:val="center"/>
          </w:tcPr>
          <w:p w14:paraId="2E0EAE17" w14:textId="77777777" w:rsidR="00DF5526" w:rsidRDefault="00DF5526">
            <w:pPr>
              <w:pStyle w:val="WhitneyBod"/>
              <w:spacing w:after="0" w:line="256" w:lineRule="auto"/>
              <w:ind w:right="0"/>
              <w:jc w:val="left"/>
              <w:rPr>
                <w:rFonts w:ascii="Arial" w:hAnsi="Arial"/>
                <w:color w:val="000000"/>
                <w:lang w:eastAsia="zh-TW"/>
              </w:rPr>
            </w:pPr>
          </w:p>
        </w:tc>
        <w:tc>
          <w:tcPr>
            <w:tcW w:w="1824" w:type="dxa"/>
            <w:shd w:val="clear" w:color="auto" w:fill="FFFFFF"/>
            <w:noWrap/>
            <w:vAlign w:val="center"/>
          </w:tcPr>
          <w:p w14:paraId="043967D3" w14:textId="77777777" w:rsidR="00DF5526" w:rsidRDefault="00DF5526">
            <w:pPr>
              <w:pStyle w:val="WhitneyBod"/>
              <w:spacing w:after="0" w:line="256" w:lineRule="auto"/>
              <w:ind w:right="0"/>
              <w:jc w:val="left"/>
              <w:rPr>
                <w:rFonts w:ascii="Arial" w:hAnsi="Arial"/>
                <w:color w:val="000000"/>
                <w:lang w:eastAsia="zh-TW"/>
              </w:rPr>
            </w:pPr>
          </w:p>
        </w:tc>
        <w:tc>
          <w:tcPr>
            <w:tcW w:w="1816" w:type="dxa"/>
            <w:tcBorders>
              <w:top w:val="nil"/>
              <w:left w:val="nil"/>
              <w:bottom w:val="nil"/>
              <w:right w:val="single" w:sz="4" w:space="0" w:color="auto"/>
            </w:tcBorders>
            <w:shd w:val="clear" w:color="auto" w:fill="FFFFFF"/>
            <w:noWrap/>
            <w:vAlign w:val="center"/>
          </w:tcPr>
          <w:p w14:paraId="2950B75C" w14:textId="77777777" w:rsidR="00DF5526" w:rsidRDefault="00DF5526">
            <w:pPr>
              <w:pStyle w:val="WhitneyBod"/>
              <w:spacing w:after="0" w:line="256" w:lineRule="auto"/>
              <w:ind w:right="0"/>
              <w:jc w:val="left"/>
              <w:rPr>
                <w:rFonts w:ascii="Arial" w:hAnsi="Arial"/>
                <w:color w:val="000000"/>
                <w:lang w:eastAsia="zh-TW"/>
              </w:rPr>
            </w:pPr>
          </w:p>
        </w:tc>
        <w:tc>
          <w:tcPr>
            <w:tcW w:w="829" w:type="dxa"/>
            <w:tcBorders>
              <w:top w:val="nil"/>
              <w:left w:val="single" w:sz="4" w:space="0" w:color="auto"/>
              <w:bottom w:val="nil"/>
              <w:right w:val="nil"/>
            </w:tcBorders>
            <w:shd w:val="clear" w:color="auto" w:fill="FFFFFF"/>
          </w:tcPr>
          <w:p w14:paraId="1897169F" w14:textId="77777777" w:rsidR="00DF5526" w:rsidRDefault="00DF5526">
            <w:pPr>
              <w:pStyle w:val="WhitneyBod"/>
              <w:tabs>
                <w:tab w:val="left" w:pos="131"/>
              </w:tabs>
              <w:spacing w:after="0" w:line="256" w:lineRule="auto"/>
              <w:ind w:left="131" w:right="0"/>
              <w:jc w:val="left"/>
              <w:rPr>
                <w:rFonts w:ascii="Arial" w:hAnsi="Arial"/>
                <w:color w:val="000000"/>
                <w:lang w:eastAsia="zh-TW"/>
              </w:rPr>
            </w:pPr>
          </w:p>
        </w:tc>
        <w:tc>
          <w:tcPr>
            <w:tcW w:w="1660" w:type="dxa"/>
            <w:shd w:val="clear" w:color="auto" w:fill="FFFFFF"/>
            <w:noWrap/>
            <w:vAlign w:val="center"/>
            <w:hideMark/>
          </w:tcPr>
          <w:p w14:paraId="774B8F33" w14:textId="77777777" w:rsidR="00DF5526" w:rsidRDefault="00DF5526">
            <w:pPr>
              <w:pStyle w:val="WhitneyBod"/>
              <w:tabs>
                <w:tab w:val="left" w:pos="131"/>
              </w:tabs>
              <w:spacing w:after="0" w:line="256" w:lineRule="auto"/>
              <w:ind w:left="131" w:right="0"/>
              <w:jc w:val="left"/>
              <w:rPr>
                <w:rFonts w:ascii="Arial" w:hAnsi="Arial"/>
                <w:color w:val="000000"/>
                <w:lang w:eastAsia="zh-TW"/>
              </w:rPr>
            </w:pPr>
            <w:r>
              <w:rPr>
                <w:rFonts w:ascii="Arial" w:hAnsi="Arial"/>
                <w:color w:val="000000"/>
                <w:lang w:eastAsia="zh-TW"/>
              </w:rPr>
              <w:t>Poland</w:t>
            </w:r>
          </w:p>
        </w:tc>
      </w:tr>
      <w:tr w:rsidR="00DF5526" w14:paraId="18EAB591" w14:textId="77777777" w:rsidTr="002141CF">
        <w:trPr>
          <w:trHeight w:val="20"/>
          <w:jc w:val="center"/>
        </w:trPr>
        <w:tc>
          <w:tcPr>
            <w:tcW w:w="998" w:type="dxa"/>
            <w:shd w:val="clear" w:color="auto" w:fill="FFFFFF"/>
            <w:noWrap/>
            <w:vAlign w:val="center"/>
            <w:hideMark/>
          </w:tcPr>
          <w:p w14:paraId="2596364E" w14:textId="77777777" w:rsidR="00DF5526" w:rsidRDefault="00DF5526">
            <w:pPr>
              <w:rPr>
                <w:rFonts w:ascii="Arial" w:hAnsi="Arial"/>
                <w:color w:val="000000"/>
                <w:lang w:eastAsia="zh-TW"/>
              </w:rPr>
            </w:pPr>
          </w:p>
        </w:tc>
        <w:tc>
          <w:tcPr>
            <w:tcW w:w="972" w:type="dxa"/>
            <w:shd w:val="clear" w:color="auto" w:fill="FFFFFF"/>
            <w:noWrap/>
            <w:vAlign w:val="center"/>
            <w:hideMark/>
          </w:tcPr>
          <w:p w14:paraId="0EAE08A2"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458DEE77"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71022D3C" w14:textId="77777777" w:rsidR="00DF5526" w:rsidRDefault="00DF5526">
            <w:pPr>
              <w:spacing w:before="0" w:after="0" w:line="256" w:lineRule="auto"/>
              <w:jc w:val="left"/>
              <w:rPr>
                <w:rFonts w:asciiTheme="minorHAnsi" w:eastAsiaTheme="minorHAnsi" w:hAnsiTheme="minorHAnsi" w:cstheme="minorBidi"/>
                <w:szCs w:val="20"/>
              </w:rPr>
            </w:pPr>
          </w:p>
        </w:tc>
        <w:tc>
          <w:tcPr>
            <w:tcW w:w="1816" w:type="dxa"/>
            <w:tcBorders>
              <w:top w:val="nil"/>
              <w:left w:val="nil"/>
              <w:bottom w:val="nil"/>
              <w:right w:val="single" w:sz="4" w:space="0" w:color="auto"/>
            </w:tcBorders>
            <w:shd w:val="clear" w:color="auto" w:fill="FFFFFF"/>
            <w:noWrap/>
            <w:vAlign w:val="center"/>
            <w:hideMark/>
          </w:tcPr>
          <w:p w14:paraId="7B8E471C" w14:textId="77777777" w:rsidR="00DF5526" w:rsidRDefault="00DF5526">
            <w:pPr>
              <w:spacing w:before="0" w:after="0" w:line="256" w:lineRule="auto"/>
              <w:jc w:val="left"/>
              <w:rPr>
                <w:rFonts w:asciiTheme="minorHAnsi" w:eastAsiaTheme="minorHAnsi" w:hAnsiTheme="minorHAnsi" w:cstheme="minorBidi"/>
                <w:szCs w:val="20"/>
              </w:rPr>
            </w:pPr>
          </w:p>
        </w:tc>
        <w:tc>
          <w:tcPr>
            <w:tcW w:w="829" w:type="dxa"/>
            <w:tcBorders>
              <w:top w:val="nil"/>
              <w:left w:val="single" w:sz="4" w:space="0" w:color="auto"/>
              <w:bottom w:val="nil"/>
              <w:right w:val="nil"/>
            </w:tcBorders>
            <w:shd w:val="clear" w:color="auto" w:fill="FFFFFF"/>
          </w:tcPr>
          <w:p w14:paraId="1C4B082B" w14:textId="77777777" w:rsidR="00DF5526" w:rsidRDefault="00DF5526">
            <w:pPr>
              <w:pStyle w:val="WhitneyBod"/>
              <w:tabs>
                <w:tab w:val="left" w:pos="131"/>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05850B01"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ab/>
              <w:t>Qatar</w:t>
            </w:r>
          </w:p>
          <w:p w14:paraId="5C03CD60"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 xml:space="preserve">   Saudi Arabia</w:t>
            </w:r>
          </w:p>
        </w:tc>
      </w:tr>
      <w:tr w:rsidR="00DF5526" w14:paraId="16E5C332" w14:textId="77777777" w:rsidTr="002141CF">
        <w:trPr>
          <w:trHeight w:val="20"/>
          <w:jc w:val="center"/>
        </w:trPr>
        <w:tc>
          <w:tcPr>
            <w:tcW w:w="998" w:type="dxa"/>
            <w:shd w:val="clear" w:color="auto" w:fill="FFFFFF"/>
            <w:noWrap/>
            <w:vAlign w:val="center"/>
          </w:tcPr>
          <w:p w14:paraId="7F443F68" w14:textId="77777777" w:rsidR="00DF5526" w:rsidRDefault="00DF5526">
            <w:pPr>
              <w:pStyle w:val="WhitneyBod"/>
              <w:spacing w:after="0" w:line="256" w:lineRule="auto"/>
              <w:ind w:right="0"/>
              <w:jc w:val="left"/>
              <w:rPr>
                <w:rFonts w:ascii="Arial" w:hAnsi="Arial"/>
                <w:color w:val="000000"/>
                <w:lang w:eastAsia="zh-TW"/>
              </w:rPr>
            </w:pPr>
          </w:p>
        </w:tc>
        <w:tc>
          <w:tcPr>
            <w:tcW w:w="972" w:type="dxa"/>
            <w:shd w:val="clear" w:color="auto" w:fill="FFFFFF"/>
            <w:noWrap/>
            <w:vAlign w:val="center"/>
          </w:tcPr>
          <w:p w14:paraId="784180C6" w14:textId="77777777" w:rsidR="00DF5526" w:rsidRDefault="00DF5526">
            <w:pPr>
              <w:pStyle w:val="WhitneyBod"/>
              <w:spacing w:after="0" w:line="256" w:lineRule="auto"/>
              <w:ind w:right="0"/>
              <w:jc w:val="left"/>
              <w:rPr>
                <w:rFonts w:ascii="Arial" w:hAnsi="Arial"/>
                <w:color w:val="000000"/>
                <w:lang w:eastAsia="zh-TW"/>
              </w:rPr>
            </w:pPr>
          </w:p>
        </w:tc>
        <w:tc>
          <w:tcPr>
            <w:tcW w:w="901" w:type="dxa"/>
            <w:shd w:val="clear" w:color="auto" w:fill="FFFFFF"/>
            <w:vAlign w:val="center"/>
          </w:tcPr>
          <w:p w14:paraId="03F61FD9" w14:textId="77777777" w:rsidR="00DF5526" w:rsidRDefault="00DF5526">
            <w:pPr>
              <w:pStyle w:val="WhitneyBod"/>
              <w:spacing w:after="0" w:line="256" w:lineRule="auto"/>
              <w:ind w:right="0"/>
              <w:jc w:val="left"/>
              <w:rPr>
                <w:rFonts w:ascii="Arial" w:hAnsi="Arial"/>
                <w:color w:val="000000"/>
                <w:lang w:eastAsia="zh-TW"/>
              </w:rPr>
            </w:pPr>
          </w:p>
        </w:tc>
        <w:tc>
          <w:tcPr>
            <w:tcW w:w="1824" w:type="dxa"/>
            <w:shd w:val="clear" w:color="auto" w:fill="FFFFFF"/>
            <w:noWrap/>
            <w:vAlign w:val="center"/>
          </w:tcPr>
          <w:p w14:paraId="14307B50" w14:textId="77777777" w:rsidR="00DF5526" w:rsidRDefault="00DF5526">
            <w:pPr>
              <w:pStyle w:val="WhitneyBod"/>
              <w:spacing w:after="0" w:line="256" w:lineRule="auto"/>
              <w:ind w:right="0"/>
              <w:jc w:val="left"/>
              <w:rPr>
                <w:rFonts w:ascii="Arial" w:hAnsi="Arial"/>
                <w:color w:val="000000"/>
                <w:lang w:eastAsia="zh-TW"/>
              </w:rPr>
            </w:pPr>
          </w:p>
        </w:tc>
        <w:tc>
          <w:tcPr>
            <w:tcW w:w="1816" w:type="dxa"/>
            <w:tcBorders>
              <w:top w:val="nil"/>
              <w:left w:val="nil"/>
              <w:bottom w:val="nil"/>
              <w:right w:val="single" w:sz="4" w:space="0" w:color="auto"/>
            </w:tcBorders>
            <w:shd w:val="clear" w:color="auto" w:fill="FFFFFF"/>
            <w:noWrap/>
            <w:vAlign w:val="center"/>
          </w:tcPr>
          <w:p w14:paraId="22F75760" w14:textId="77777777" w:rsidR="00DF5526" w:rsidRDefault="00DF5526">
            <w:pPr>
              <w:pStyle w:val="WhitneyBod"/>
              <w:spacing w:after="0" w:line="256" w:lineRule="auto"/>
              <w:ind w:right="0"/>
              <w:jc w:val="left"/>
              <w:rPr>
                <w:rFonts w:ascii="Arial" w:hAnsi="Arial"/>
                <w:color w:val="000000"/>
                <w:lang w:eastAsia="zh-TW"/>
              </w:rPr>
            </w:pPr>
          </w:p>
        </w:tc>
        <w:tc>
          <w:tcPr>
            <w:tcW w:w="829" w:type="dxa"/>
            <w:tcBorders>
              <w:top w:val="nil"/>
              <w:left w:val="single" w:sz="4" w:space="0" w:color="auto"/>
              <w:bottom w:val="nil"/>
              <w:right w:val="nil"/>
            </w:tcBorders>
            <w:shd w:val="clear" w:color="auto" w:fill="FFFFFF"/>
          </w:tcPr>
          <w:p w14:paraId="05DFB0E8" w14:textId="77777777" w:rsidR="00DF5526" w:rsidRDefault="00DF5526">
            <w:pPr>
              <w:pStyle w:val="WhitneyBod"/>
              <w:tabs>
                <w:tab w:val="left" w:pos="131"/>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71925C24"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ab/>
              <w:t>Turkey</w:t>
            </w:r>
          </w:p>
        </w:tc>
      </w:tr>
      <w:tr w:rsidR="00DF5526" w14:paraId="0C4D7788" w14:textId="77777777" w:rsidTr="002141CF">
        <w:trPr>
          <w:trHeight w:val="20"/>
          <w:jc w:val="center"/>
        </w:trPr>
        <w:tc>
          <w:tcPr>
            <w:tcW w:w="998" w:type="dxa"/>
            <w:shd w:val="clear" w:color="auto" w:fill="FFFFFF"/>
            <w:noWrap/>
            <w:vAlign w:val="center"/>
            <w:hideMark/>
          </w:tcPr>
          <w:p w14:paraId="077E2138" w14:textId="77777777" w:rsidR="00DF5526" w:rsidRDefault="00DF5526">
            <w:pPr>
              <w:rPr>
                <w:rFonts w:ascii="Arial" w:hAnsi="Arial"/>
                <w:color w:val="000000"/>
                <w:lang w:eastAsia="zh-TW"/>
              </w:rPr>
            </w:pPr>
          </w:p>
        </w:tc>
        <w:tc>
          <w:tcPr>
            <w:tcW w:w="972" w:type="dxa"/>
            <w:shd w:val="clear" w:color="auto" w:fill="FFFFFF"/>
            <w:noWrap/>
            <w:vAlign w:val="center"/>
            <w:hideMark/>
          </w:tcPr>
          <w:p w14:paraId="0CCD22D6"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34BE15C7"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bottom"/>
            <w:hideMark/>
          </w:tcPr>
          <w:p w14:paraId="7B56494F" w14:textId="77777777" w:rsidR="00DF5526" w:rsidRDefault="00DF5526">
            <w:pPr>
              <w:spacing w:before="0" w:after="0" w:line="256" w:lineRule="auto"/>
              <w:jc w:val="left"/>
              <w:rPr>
                <w:rFonts w:asciiTheme="minorHAnsi" w:eastAsiaTheme="minorHAnsi" w:hAnsiTheme="minorHAnsi" w:cstheme="minorBidi"/>
                <w:szCs w:val="20"/>
              </w:rPr>
            </w:pPr>
          </w:p>
        </w:tc>
        <w:tc>
          <w:tcPr>
            <w:tcW w:w="1816" w:type="dxa"/>
            <w:tcBorders>
              <w:top w:val="nil"/>
              <w:left w:val="nil"/>
              <w:bottom w:val="nil"/>
              <w:right w:val="single" w:sz="4" w:space="0" w:color="auto"/>
            </w:tcBorders>
            <w:shd w:val="clear" w:color="auto" w:fill="FFFFFF"/>
            <w:noWrap/>
            <w:vAlign w:val="center"/>
            <w:hideMark/>
          </w:tcPr>
          <w:p w14:paraId="3847499F" w14:textId="77777777" w:rsidR="00DF5526" w:rsidRDefault="00DF5526">
            <w:pPr>
              <w:spacing w:before="0" w:after="0" w:line="256" w:lineRule="auto"/>
              <w:jc w:val="left"/>
              <w:rPr>
                <w:rFonts w:asciiTheme="minorHAnsi" w:eastAsiaTheme="minorHAnsi" w:hAnsiTheme="minorHAnsi" w:cstheme="minorBidi"/>
                <w:szCs w:val="20"/>
              </w:rPr>
            </w:pPr>
          </w:p>
        </w:tc>
        <w:tc>
          <w:tcPr>
            <w:tcW w:w="829" w:type="dxa"/>
            <w:tcBorders>
              <w:top w:val="nil"/>
              <w:left w:val="single" w:sz="4" w:space="0" w:color="auto"/>
              <w:bottom w:val="nil"/>
              <w:right w:val="nil"/>
            </w:tcBorders>
            <w:shd w:val="clear" w:color="auto" w:fill="FFFFFF"/>
          </w:tcPr>
          <w:p w14:paraId="21E01E39" w14:textId="77777777" w:rsidR="00DF5526" w:rsidRDefault="00DF5526">
            <w:pPr>
              <w:pStyle w:val="WhitneyBod"/>
              <w:tabs>
                <w:tab w:val="left" w:pos="131"/>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2DF432CC"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color w:val="000000"/>
                <w:lang w:eastAsia="zh-TW"/>
              </w:rPr>
              <w:tab/>
              <w:t>UAE</w:t>
            </w:r>
          </w:p>
        </w:tc>
      </w:tr>
      <w:tr w:rsidR="00DF5526" w14:paraId="0105D695" w14:textId="77777777" w:rsidTr="002141CF">
        <w:trPr>
          <w:trHeight w:val="20"/>
          <w:jc w:val="center"/>
        </w:trPr>
        <w:tc>
          <w:tcPr>
            <w:tcW w:w="998" w:type="dxa"/>
            <w:shd w:val="clear" w:color="auto" w:fill="FFFFFF"/>
            <w:noWrap/>
            <w:vAlign w:val="center"/>
          </w:tcPr>
          <w:p w14:paraId="12EF5175" w14:textId="77777777" w:rsidR="00DF5526" w:rsidRDefault="00DF5526">
            <w:pPr>
              <w:pStyle w:val="WhitneyBod"/>
              <w:spacing w:after="0" w:line="256" w:lineRule="auto"/>
              <w:ind w:right="0"/>
              <w:jc w:val="left"/>
              <w:rPr>
                <w:rFonts w:ascii="Arial" w:hAnsi="Arial"/>
                <w:color w:val="000000"/>
                <w:lang w:eastAsia="zh-TW"/>
              </w:rPr>
            </w:pPr>
          </w:p>
        </w:tc>
        <w:tc>
          <w:tcPr>
            <w:tcW w:w="972" w:type="dxa"/>
            <w:shd w:val="clear" w:color="auto" w:fill="FFFFFF"/>
            <w:noWrap/>
            <w:vAlign w:val="center"/>
          </w:tcPr>
          <w:p w14:paraId="0214C010" w14:textId="77777777" w:rsidR="00DF5526" w:rsidRDefault="00DF5526">
            <w:pPr>
              <w:pStyle w:val="WhitneyBod"/>
              <w:spacing w:after="0" w:line="256" w:lineRule="auto"/>
              <w:ind w:right="0"/>
              <w:jc w:val="left"/>
              <w:rPr>
                <w:rFonts w:ascii="Arial" w:hAnsi="Arial"/>
                <w:color w:val="000000"/>
                <w:lang w:eastAsia="zh-TW"/>
              </w:rPr>
            </w:pPr>
          </w:p>
        </w:tc>
        <w:tc>
          <w:tcPr>
            <w:tcW w:w="901" w:type="dxa"/>
            <w:shd w:val="clear" w:color="auto" w:fill="FFFFFF"/>
            <w:vAlign w:val="center"/>
          </w:tcPr>
          <w:p w14:paraId="7118CF05" w14:textId="77777777" w:rsidR="00DF5526" w:rsidRDefault="00DF5526">
            <w:pPr>
              <w:pStyle w:val="WhitneyBod"/>
              <w:spacing w:after="0" w:line="256" w:lineRule="auto"/>
              <w:ind w:right="0"/>
              <w:jc w:val="left"/>
              <w:rPr>
                <w:rFonts w:ascii="Arial" w:hAnsi="Arial"/>
                <w:color w:val="000000"/>
                <w:lang w:eastAsia="zh-TW"/>
              </w:rPr>
            </w:pPr>
          </w:p>
        </w:tc>
        <w:tc>
          <w:tcPr>
            <w:tcW w:w="1824" w:type="dxa"/>
            <w:shd w:val="clear" w:color="auto" w:fill="FFFFFF"/>
            <w:noWrap/>
            <w:vAlign w:val="bottom"/>
          </w:tcPr>
          <w:p w14:paraId="5FCAEF46" w14:textId="77777777" w:rsidR="00DF5526" w:rsidRDefault="00DF5526">
            <w:pPr>
              <w:pStyle w:val="WhitneyBod"/>
              <w:spacing w:after="0" w:line="256" w:lineRule="auto"/>
              <w:ind w:right="0"/>
              <w:jc w:val="left"/>
              <w:rPr>
                <w:rFonts w:ascii="Arial" w:hAnsi="Arial"/>
                <w:lang w:eastAsia="zh-TW"/>
              </w:rPr>
            </w:pPr>
          </w:p>
        </w:tc>
        <w:tc>
          <w:tcPr>
            <w:tcW w:w="1816" w:type="dxa"/>
            <w:tcBorders>
              <w:top w:val="nil"/>
              <w:left w:val="nil"/>
              <w:bottom w:val="nil"/>
              <w:right w:val="single" w:sz="4" w:space="0" w:color="auto"/>
            </w:tcBorders>
            <w:shd w:val="clear" w:color="auto" w:fill="FFFFFF"/>
            <w:noWrap/>
            <w:vAlign w:val="center"/>
          </w:tcPr>
          <w:p w14:paraId="074A35F6" w14:textId="77777777" w:rsidR="00DF5526" w:rsidRDefault="00DF5526">
            <w:pPr>
              <w:pStyle w:val="WhitneyBod"/>
              <w:spacing w:after="0" w:line="256" w:lineRule="auto"/>
              <w:ind w:right="0"/>
              <w:jc w:val="left"/>
              <w:rPr>
                <w:rFonts w:ascii="Arial" w:hAnsi="Arial"/>
                <w:color w:val="000000"/>
                <w:lang w:eastAsia="zh-TW"/>
              </w:rPr>
            </w:pPr>
          </w:p>
        </w:tc>
        <w:tc>
          <w:tcPr>
            <w:tcW w:w="829" w:type="dxa"/>
            <w:tcBorders>
              <w:top w:val="nil"/>
              <w:left w:val="single" w:sz="4" w:space="0" w:color="auto"/>
              <w:bottom w:val="nil"/>
              <w:right w:val="nil"/>
            </w:tcBorders>
            <w:shd w:val="clear" w:color="auto" w:fill="FFFFFF"/>
          </w:tcPr>
          <w:p w14:paraId="4504D690" w14:textId="77777777" w:rsidR="00DF5526" w:rsidRDefault="00DF5526">
            <w:pPr>
              <w:pStyle w:val="WhitneyBod"/>
              <w:tabs>
                <w:tab w:val="left" w:pos="131"/>
              </w:tabs>
              <w:spacing w:after="0" w:line="256" w:lineRule="auto"/>
              <w:ind w:right="0"/>
              <w:jc w:val="left"/>
              <w:rPr>
                <w:rFonts w:ascii="Arial" w:hAnsi="Arial"/>
                <w:b/>
                <w:i/>
                <w:color w:val="000000"/>
                <w:lang w:eastAsia="zh-TW"/>
              </w:rPr>
            </w:pPr>
          </w:p>
        </w:tc>
        <w:tc>
          <w:tcPr>
            <w:tcW w:w="1660" w:type="dxa"/>
            <w:shd w:val="clear" w:color="auto" w:fill="FFFFFF"/>
            <w:noWrap/>
            <w:vAlign w:val="center"/>
            <w:hideMark/>
          </w:tcPr>
          <w:p w14:paraId="65A834FE" w14:textId="77777777" w:rsidR="00DF5526" w:rsidRDefault="00DF5526">
            <w:pPr>
              <w:pStyle w:val="WhitneyBod"/>
              <w:tabs>
                <w:tab w:val="left" w:pos="131"/>
              </w:tabs>
              <w:spacing w:after="0" w:line="256" w:lineRule="auto"/>
              <w:ind w:right="0"/>
              <w:jc w:val="left"/>
              <w:rPr>
                <w:rFonts w:ascii="Arial" w:hAnsi="Arial"/>
                <w:color w:val="000000"/>
                <w:lang w:eastAsia="zh-TW"/>
              </w:rPr>
            </w:pPr>
            <w:r>
              <w:rPr>
                <w:rFonts w:ascii="Arial" w:hAnsi="Arial"/>
                <w:b/>
                <w:i/>
                <w:color w:val="000000"/>
                <w:lang w:eastAsia="zh-TW"/>
              </w:rPr>
              <w:t>Asia Pacific</w:t>
            </w:r>
          </w:p>
        </w:tc>
      </w:tr>
      <w:tr w:rsidR="00DF5526" w14:paraId="370FF73E" w14:textId="77777777" w:rsidTr="002141CF">
        <w:trPr>
          <w:trHeight w:val="20"/>
          <w:jc w:val="center"/>
        </w:trPr>
        <w:tc>
          <w:tcPr>
            <w:tcW w:w="998" w:type="dxa"/>
            <w:shd w:val="clear" w:color="auto" w:fill="FFFFFF"/>
            <w:noWrap/>
            <w:vAlign w:val="center"/>
            <w:hideMark/>
          </w:tcPr>
          <w:p w14:paraId="5805D198" w14:textId="77777777" w:rsidR="00DF5526" w:rsidRDefault="00DF5526">
            <w:pPr>
              <w:rPr>
                <w:rFonts w:ascii="Arial" w:hAnsi="Arial"/>
                <w:color w:val="000000"/>
                <w:lang w:eastAsia="zh-TW"/>
              </w:rPr>
            </w:pPr>
          </w:p>
        </w:tc>
        <w:tc>
          <w:tcPr>
            <w:tcW w:w="972" w:type="dxa"/>
            <w:shd w:val="clear" w:color="auto" w:fill="FFFFFF"/>
            <w:noWrap/>
            <w:vAlign w:val="center"/>
            <w:hideMark/>
          </w:tcPr>
          <w:p w14:paraId="72468849"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16E75C8C"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44D61C6F" w14:textId="77777777" w:rsidR="00DF5526" w:rsidRDefault="00DF5526">
            <w:pPr>
              <w:spacing w:before="0" w:after="0" w:line="256" w:lineRule="auto"/>
              <w:jc w:val="left"/>
              <w:rPr>
                <w:rFonts w:asciiTheme="minorHAnsi" w:eastAsiaTheme="minorHAnsi" w:hAnsiTheme="minorHAnsi" w:cstheme="minorBidi"/>
                <w:szCs w:val="20"/>
              </w:rPr>
            </w:pPr>
          </w:p>
        </w:tc>
        <w:tc>
          <w:tcPr>
            <w:tcW w:w="1816" w:type="dxa"/>
            <w:tcBorders>
              <w:top w:val="nil"/>
              <w:left w:val="nil"/>
              <w:bottom w:val="nil"/>
              <w:right w:val="single" w:sz="4" w:space="0" w:color="auto"/>
            </w:tcBorders>
            <w:shd w:val="clear" w:color="auto" w:fill="FFFFFF"/>
            <w:noWrap/>
            <w:vAlign w:val="center"/>
            <w:hideMark/>
          </w:tcPr>
          <w:p w14:paraId="650DA34A" w14:textId="77777777" w:rsidR="00DF5526" w:rsidRDefault="00DF5526">
            <w:pPr>
              <w:spacing w:before="0" w:after="0" w:line="256" w:lineRule="auto"/>
              <w:jc w:val="left"/>
              <w:rPr>
                <w:rFonts w:asciiTheme="minorHAnsi" w:eastAsiaTheme="minorHAnsi" w:hAnsiTheme="minorHAnsi" w:cstheme="minorBidi"/>
                <w:szCs w:val="20"/>
              </w:rPr>
            </w:pPr>
          </w:p>
        </w:tc>
        <w:tc>
          <w:tcPr>
            <w:tcW w:w="829" w:type="dxa"/>
            <w:tcBorders>
              <w:top w:val="nil"/>
              <w:left w:val="single" w:sz="4" w:space="0" w:color="auto"/>
              <w:bottom w:val="nil"/>
              <w:right w:val="nil"/>
            </w:tcBorders>
          </w:tcPr>
          <w:p w14:paraId="573E4D56" w14:textId="77777777" w:rsidR="00DF5526" w:rsidRDefault="00DF5526">
            <w:pPr>
              <w:pStyle w:val="WhitneyBod"/>
              <w:spacing w:after="0" w:line="256" w:lineRule="auto"/>
              <w:ind w:left="130" w:right="0"/>
              <w:jc w:val="left"/>
              <w:rPr>
                <w:rFonts w:ascii="Arial" w:hAnsi="Arial"/>
                <w:color w:val="000000"/>
                <w:lang w:eastAsia="zh-TW"/>
              </w:rPr>
            </w:pPr>
          </w:p>
        </w:tc>
        <w:tc>
          <w:tcPr>
            <w:tcW w:w="1660" w:type="dxa"/>
            <w:noWrap/>
            <w:vAlign w:val="center"/>
            <w:hideMark/>
          </w:tcPr>
          <w:p w14:paraId="0C29B4F6" w14:textId="77777777" w:rsidR="00DF5526" w:rsidRDefault="00DF5526">
            <w:pPr>
              <w:pStyle w:val="WhitneyBod"/>
              <w:spacing w:after="0" w:line="256" w:lineRule="auto"/>
              <w:ind w:left="130" w:right="0"/>
              <w:jc w:val="left"/>
              <w:rPr>
                <w:rFonts w:ascii="Arial" w:hAnsi="Arial"/>
                <w:b/>
                <w:i/>
                <w:color w:val="000000"/>
                <w:lang w:eastAsia="zh-TW"/>
              </w:rPr>
            </w:pPr>
            <w:r>
              <w:rPr>
                <w:rFonts w:ascii="Arial" w:hAnsi="Arial"/>
                <w:color w:val="000000"/>
                <w:lang w:eastAsia="zh-TW"/>
              </w:rPr>
              <w:t>Indonesia</w:t>
            </w:r>
          </w:p>
        </w:tc>
      </w:tr>
      <w:tr w:rsidR="00DF5526" w14:paraId="20C4FCB5" w14:textId="77777777" w:rsidTr="002141CF">
        <w:trPr>
          <w:trHeight w:val="20"/>
          <w:jc w:val="center"/>
        </w:trPr>
        <w:tc>
          <w:tcPr>
            <w:tcW w:w="998" w:type="dxa"/>
            <w:shd w:val="clear" w:color="auto" w:fill="FFFFFF"/>
            <w:noWrap/>
            <w:vAlign w:val="center"/>
            <w:hideMark/>
          </w:tcPr>
          <w:p w14:paraId="7A8CD000" w14:textId="77777777" w:rsidR="00DF5526" w:rsidRDefault="00DF5526">
            <w:pPr>
              <w:rPr>
                <w:rFonts w:ascii="Arial" w:hAnsi="Arial"/>
                <w:b/>
                <w:i/>
                <w:color w:val="000000"/>
                <w:lang w:eastAsia="zh-TW"/>
              </w:rPr>
            </w:pPr>
          </w:p>
        </w:tc>
        <w:tc>
          <w:tcPr>
            <w:tcW w:w="972" w:type="dxa"/>
            <w:shd w:val="clear" w:color="auto" w:fill="FFFFFF"/>
            <w:noWrap/>
            <w:vAlign w:val="center"/>
            <w:hideMark/>
          </w:tcPr>
          <w:p w14:paraId="07147EF9"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3857CA62"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1AFBE6B9" w14:textId="77777777" w:rsidR="00DF5526" w:rsidRDefault="00DF5526">
            <w:pPr>
              <w:spacing w:before="0" w:after="0" w:line="256" w:lineRule="auto"/>
              <w:jc w:val="left"/>
              <w:rPr>
                <w:rFonts w:asciiTheme="minorHAnsi" w:eastAsiaTheme="minorHAnsi" w:hAnsiTheme="minorHAnsi" w:cstheme="minorBidi"/>
                <w:szCs w:val="20"/>
              </w:rPr>
            </w:pPr>
          </w:p>
        </w:tc>
        <w:tc>
          <w:tcPr>
            <w:tcW w:w="1816" w:type="dxa"/>
            <w:tcBorders>
              <w:top w:val="nil"/>
              <w:left w:val="nil"/>
              <w:bottom w:val="nil"/>
              <w:right w:val="single" w:sz="4" w:space="0" w:color="auto"/>
            </w:tcBorders>
            <w:shd w:val="clear" w:color="auto" w:fill="FFFFFF"/>
            <w:noWrap/>
            <w:vAlign w:val="center"/>
            <w:hideMark/>
          </w:tcPr>
          <w:p w14:paraId="4CCF07DF" w14:textId="77777777" w:rsidR="00DF5526" w:rsidRDefault="00DF5526">
            <w:pPr>
              <w:spacing w:before="0" w:after="0" w:line="256" w:lineRule="auto"/>
              <w:jc w:val="left"/>
              <w:rPr>
                <w:rFonts w:asciiTheme="minorHAnsi" w:eastAsiaTheme="minorHAnsi" w:hAnsiTheme="minorHAnsi" w:cstheme="minorBidi"/>
                <w:szCs w:val="20"/>
              </w:rPr>
            </w:pPr>
          </w:p>
        </w:tc>
        <w:tc>
          <w:tcPr>
            <w:tcW w:w="829" w:type="dxa"/>
            <w:tcBorders>
              <w:top w:val="nil"/>
              <w:left w:val="single" w:sz="4" w:space="0" w:color="auto"/>
              <w:bottom w:val="nil"/>
              <w:right w:val="nil"/>
            </w:tcBorders>
            <w:shd w:val="clear" w:color="auto" w:fill="FFFFFF"/>
          </w:tcPr>
          <w:p w14:paraId="3D6DC67C" w14:textId="77777777" w:rsidR="00DF5526" w:rsidRDefault="00DF5526">
            <w:pPr>
              <w:pStyle w:val="WhitneyBod"/>
              <w:tabs>
                <w:tab w:val="left" w:pos="116"/>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37646009" w14:textId="77777777" w:rsidR="00DF5526" w:rsidRDefault="00DF5526">
            <w:pPr>
              <w:pStyle w:val="WhitneyBod"/>
              <w:tabs>
                <w:tab w:val="left" w:pos="116"/>
              </w:tabs>
              <w:spacing w:after="0" w:line="256" w:lineRule="auto"/>
              <w:ind w:right="0"/>
              <w:jc w:val="left"/>
              <w:rPr>
                <w:rFonts w:ascii="Arial" w:hAnsi="Arial"/>
                <w:color w:val="000000"/>
                <w:lang w:eastAsia="zh-TW"/>
              </w:rPr>
            </w:pPr>
            <w:r>
              <w:rPr>
                <w:rFonts w:ascii="Arial" w:hAnsi="Arial"/>
                <w:color w:val="000000"/>
                <w:lang w:eastAsia="zh-TW"/>
              </w:rPr>
              <w:tab/>
              <w:t>Malaysia</w:t>
            </w:r>
          </w:p>
        </w:tc>
      </w:tr>
      <w:tr w:rsidR="00DF5526" w14:paraId="54A04D51" w14:textId="77777777" w:rsidTr="002141CF">
        <w:trPr>
          <w:trHeight w:val="20"/>
          <w:jc w:val="center"/>
        </w:trPr>
        <w:tc>
          <w:tcPr>
            <w:tcW w:w="998" w:type="dxa"/>
            <w:shd w:val="clear" w:color="auto" w:fill="FFFFFF"/>
            <w:noWrap/>
            <w:vAlign w:val="center"/>
            <w:hideMark/>
          </w:tcPr>
          <w:p w14:paraId="401F7183" w14:textId="77777777" w:rsidR="00DF5526" w:rsidRDefault="00DF5526">
            <w:pPr>
              <w:rPr>
                <w:rFonts w:ascii="Arial" w:hAnsi="Arial"/>
                <w:color w:val="000000"/>
                <w:lang w:eastAsia="zh-TW"/>
              </w:rPr>
            </w:pPr>
          </w:p>
        </w:tc>
        <w:tc>
          <w:tcPr>
            <w:tcW w:w="972" w:type="dxa"/>
            <w:shd w:val="clear" w:color="auto" w:fill="FFFFFF"/>
            <w:noWrap/>
            <w:vAlign w:val="center"/>
            <w:hideMark/>
          </w:tcPr>
          <w:p w14:paraId="11528C8E"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shd w:val="clear" w:color="auto" w:fill="FFFFFF"/>
            <w:vAlign w:val="center"/>
            <w:hideMark/>
          </w:tcPr>
          <w:p w14:paraId="26E6CE86"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shd w:val="clear" w:color="auto" w:fill="FFFFFF"/>
            <w:noWrap/>
            <w:vAlign w:val="center"/>
            <w:hideMark/>
          </w:tcPr>
          <w:p w14:paraId="7F8DA139" w14:textId="77777777" w:rsidR="00DF5526" w:rsidRDefault="00DF5526">
            <w:pPr>
              <w:spacing w:before="0" w:after="0" w:line="256" w:lineRule="auto"/>
              <w:jc w:val="left"/>
              <w:rPr>
                <w:rFonts w:asciiTheme="minorHAnsi" w:eastAsiaTheme="minorHAnsi" w:hAnsiTheme="minorHAnsi" w:cstheme="minorBidi"/>
                <w:szCs w:val="20"/>
              </w:rPr>
            </w:pPr>
          </w:p>
        </w:tc>
        <w:tc>
          <w:tcPr>
            <w:tcW w:w="1816" w:type="dxa"/>
            <w:tcBorders>
              <w:top w:val="nil"/>
              <w:left w:val="nil"/>
              <w:bottom w:val="nil"/>
              <w:right w:val="single" w:sz="4" w:space="0" w:color="auto"/>
            </w:tcBorders>
            <w:shd w:val="clear" w:color="auto" w:fill="FFFFFF"/>
            <w:noWrap/>
            <w:vAlign w:val="center"/>
            <w:hideMark/>
          </w:tcPr>
          <w:p w14:paraId="776F10E6" w14:textId="77777777" w:rsidR="00DF5526" w:rsidRDefault="00DF5526">
            <w:pPr>
              <w:spacing w:before="0" w:after="0" w:line="256" w:lineRule="auto"/>
              <w:jc w:val="left"/>
              <w:rPr>
                <w:rFonts w:asciiTheme="minorHAnsi" w:eastAsiaTheme="minorHAnsi" w:hAnsiTheme="minorHAnsi" w:cstheme="minorBidi"/>
                <w:szCs w:val="20"/>
              </w:rPr>
            </w:pPr>
          </w:p>
        </w:tc>
        <w:tc>
          <w:tcPr>
            <w:tcW w:w="829" w:type="dxa"/>
            <w:tcBorders>
              <w:top w:val="nil"/>
              <w:left w:val="single" w:sz="4" w:space="0" w:color="auto"/>
              <w:bottom w:val="nil"/>
              <w:right w:val="nil"/>
            </w:tcBorders>
            <w:shd w:val="clear" w:color="auto" w:fill="FFFFFF"/>
          </w:tcPr>
          <w:p w14:paraId="7AE837DE" w14:textId="77777777" w:rsidR="00DF5526" w:rsidRDefault="00DF5526">
            <w:pPr>
              <w:pStyle w:val="WhitneyBod"/>
              <w:tabs>
                <w:tab w:val="left" w:pos="116"/>
              </w:tabs>
              <w:spacing w:after="0" w:line="256" w:lineRule="auto"/>
              <w:ind w:right="0"/>
              <w:jc w:val="left"/>
              <w:rPr>
                <w:rFonts w:ascii="Arial" w:hAnsi="Arial"/>
                <w:color w:val="000000"/>
                <w:lang w:eastAsia="zh-TW"/>
              </w:rPr>
            </w:pPr>
          </w:p>
        </w:tc>
        <w:tc>
          <w:tcPr>
            <w:tcW w:w="1660" w:type="dxa"/>
            <w:shd w:val="clear" w:color="auto" w:fill="FFFFFF"/>
            <w:noWrap/>
            <w:vAlign w:val="center"/>
            <w:hideMark/>
          </w:tcPr>
          <w:p w14:paraId="39B44AA4" w14:textId="77777777" w:rsidR="00DF5526" w:rsidRDefault="00DF5526">
            <w:pPr>
              <w:pStyle w:val="WhitneyBod"/>
              <w:tabs>
                <w:tab w:val="left" w:pos="116"/>
              </w:tabs>
              <w:spacing w:after="0" w:line="256" w:lineRule="auto"/>
              <w:ind w:right="0"/>
              <w:jc w:val="left"/>
              <w:rPr>
                <w:rFonts w:ascii="Arial" w:hAnsi="Arial"/>
                <w:color w:val="000000"/>
                <w:lang w:eastAsia="zh-TW"/>
              </w:rPr>
            </w:pPr>
            <w:r>
              <w:rPr>
                <w:rFonts w:ascii="Arial" w:hAnsi="Arial"/>
                <w:color w:val="000000"/>
                <w:lang w:eastAsia="zh-TW"/>
              </w:rPr>
              <w:tab/>
              <w:t>Philippines</w:t>
            </w:r>
          </w:p>
        </w:tc>
      </w:tr>
      <w:tr w:rsidR="00DF5526" w14:paraId="50E8DC61" w14:textId="77777777" w:rsidTr="002141CF">
        <w:trPr>
          <w:trHeight w:val="20"/>
          <w:jc w:val="center"/>
        </w:trPr>
        <w:tc>
          <w:tcPr>
            <w:tcW w:w="998" w:type="dxa"/>
            <w:tcBorders>
              <w:top w:val="nil"/>
              <w:left w:val="nil"/>
              <w:bottom w:val="single" w:sz="4" w:space="0" w:color="auto"/>
              <w:right w:val="nil"/>
            </w:tcBorders>
            <w:shd w:val="clear" w:color="auto" w:fill="FFFFFF"/>
            <w:noWrap/>
            <w:vAlign w:val="center"/>
            <w:hideMark/>
          </w:tcPr>
          <w:p w14:paraId="24C3112B" w14:textId="77777777" w:rsidR="00DF5526" w:rsidRDefault="00DF5526">
            <w:pPr>
              <w:rPr>
                <w:rFonts w:ascii="Arial" w:hAnsi="Arial"/>
                <w:color w:val="000000"/>
                <w:lang w:eastAsia="zh-TW"/>
              </w:rPr>
            </w:pPr>
          </w:p>
        </w:tc>
        <w:tc>
          <w:tcPr>
            <w:tcW w:w="972" w:type="dxa"/>
            <w:tcBorders>
              <w:top w:val="nil"/>
              <w:left w:val="nil"/>
              <w:bottom w:val="single" w:sz="4" w:space="0" w:color="auto"/>
              <w:right w:val="nil"/>
            </w:tcBorders>
            <w:shd w:val="clear" w:color="auto" w:fill="FFFFFF"/>
            <w:noWrap/>
            <w:vAlign w:val="center"/>
            <w:hideMark/>
          </w:tcPr>
          <w:p w14:paraId="6A7651F2" w14:textId="77777777" w:rsidR="00DF5526" w:rsidRDefault="00DF5526">
            <w:pPr>
              <w:spacing w:before="0" w:after="0" w:line="256" w:lineRule="auto"/>
              <w:jc w:val="left"/>
              <w:rPr>
                <w:rFonts w:asciiTheme="minorHAnsi" w:eastAsiaTheme="minorHAnsi" w:hAnsiTheme="minorHAnsi" w:cstheme="minorBidi"/>
                <w:szCs w:val="20"/>
              </w:rPr>
            </w:pPr>
          </w:p>
        </w:tc>
        <w:tc>
          <w:tcPr>
            <w:tcW w:w="901" w:type="dxa"/>
            <w:tcBorders>
              <w:top w:val="nil"/>
              <w:left w:val="nil"/>
              <w:bottom w:val="single" w:sz="4" w:space="0" w:color="auto"/>
              <w:right w:val="nil"/>
            </w:tcBorders>
            <w:shd w:val="clear" w:color="auto" w:fill="FFFFFF"/>
            <w:vAlign w:val="center"/>
            <w:hideMark/>
          </w:tcPr>
          <w:p w14:paraId="58329B03" w14:textId="77777777" w:rsidR="00DF5526" w:rsidRDefault="00DF5526">
            <w:pPr>
              <w:spacing w:before="0" w:after="0" w:line="256" w:lineRule="auto"/>
              <w:jc w:val="left"/>
              <w:rPr>
                <w:rFonts w:asciiTheme="minorHAnsi" w:eastAsiaTheme="minorHAnsi" w:hAnsiTheme="minorHAnsi" w:cstheme="minorBidi"/>
                <w:szCs w:val="20"/>
              </w:rPr>
            </w:pPr>
          </w:p>
        </w:tc>
        <w:tc>
          <w:tcPr>
            <w:tcW w:w="1824" w:type="dxa"/>
            <w:tcBorders>
              <w:top w:val="nil"/>
              <w:left w:val="nil"/>
              <w:bottom w:val="single" w:sz="4" w:space="0" w:color="auto"/>
              <w:right w:val="nil"/>
            </w:tcBorders>
            <w:shd w:val="clear" w:color="auto" w:fill="FFFFFF"/>
            <w:noWrap/>
            <w:vAlign w:val="center"/>
            <w:hideMark/>
          </w:tcPr>
          <w:p w14:paraId="2871A3B9" w14:textId="77777777" w:rsidR="00DF5526" w:rsidRDefault="00DF5526">
            <w:pPr>
              <w:spacing w:before="0" w:after="0" w:line="256" w:lineRule="auto"/>
              <w:jc w:val="left"/>
              <w:rPr>
                <w:rFonts w:asciiTheme="minorHAnsi" w:eastAsiaTheme="minorHAnsi" w:hAnsiTheme="minorHAnsi" w:cstheme="minorBidi"/>
                <w:szCs w:val="20"/>
              </w:rPr>
            </w:pPr>
          </w:p>
        </w:tc>
        <w:tc>
          <w:tcPr>
            <w:tcW w:w="1816" w:type="dxa"/>
            <w:tcBorders>
              <w:top w:val="nil"/>
              <w:left w:val="nil"/>
              <w:bottom w:val="single" w:sz="4" w:space="0" w:color="auto"/>
              <w:right w:val="single" w:sz="4" w:space="0" w:color="auto"/>
            </w:tcBorders>
            <w:shd w:val="clear" w:color="auto" w:fill="FFFFFF"/>
            <w:noWrap/>
            <w:vAlign w:val="center"/>
            <w:hideMark/>
          </w:tcPr>
          <w:p w14:paraId="2AA2BDAF" w14:textId="77777777" w:rsidR="00DF5526" w:rsidRDefault="00DF5526">
            <w:pPr>
              <w:spacing w:before="0" w:after="0" w:line="256" w:lineRule="auto"/>
              <w:jc w:val="left"/>
              <w:rPr>
                <w:rFonts w:asciiTheme="minorHAnsi" w:eastAsiaTheme="minorHAnsi" w:hAnsiTheme="minorHAnsi" w:cstheme="minorBidi"/>
                <w:szCs w:val="20"/>
              </w:rPr>
            </w:pPr>
          </w:p>
        </w:tc>
        <w:tc>
          <w:tcPr>
            <w:tcW w:w="829" w:type="dxa"/>
            <w:tcBorders>
              <w:top w:val="nil"/>
              <w:left w:val="single" w:sz="4" w:space="0" w:color="auto"/>
              <w:bottom w:val="single" w:sz="4" w:space="0" w:color="auto"/>
              <w:right w:val="nil"/>
            </w:tcBorders>
            <w:shd w:val="clear" w:color="auto" w:fill="FFFFFF"/>
          </w:tcPr>
          <w:p w14:paraId="4053B55F" w14:textId="77777777" w:rsidR="00DF5526" w:rsidRDefault="00DF5526">
            <w:pPr>
              <w:pStyle w:val="WhitneyBod"/>
              <w:tabs>
                <w:tab w:val="left" w:pos="116"/>
              </w:tabs>
              <w:spacing w:after="0" w:line="256" w:lineRule="auto"/>
              <w:ind w:right="0"/>
              <w:jc w:val="left"/>
              <w:rPr>
                <w:rFonts w:ascii="Arial" w:hAnsi="Arial"/>
                <w:color w:val="000000"/>
                <w:lang w:eastAsia="zh-TW"/>
              </w:rPr>
            </w:pPr>
          </w:p>
        </w:tc>
        <w:tc>
          <w:tcPr>
            <w:tcW w:w="1660" w:type="dxa"/>
            <w:tcBorders>
              <w:top w:val="nil"/>
              <w:left w:val="nil"/>
              <w:bottom w:val="single" w:sz="4" w:space="0" w:color="auto"/>
              <w:right w:val="nil"/>
            </w:tcBorders>
            <w:shd w:val="clear" w:color="auto" w:fill="FFFFFF"/>
            <w:noWrap/>
            <w:vAlign w:val="center"/>
            <w:hideMark/>
          </w:tcPr>
          <w:p w14:paraId="6661CC56" w14:textId="77777777" w:rsidR="00DF5526" w:rsidRDefault="00DF5526">
            <w:pPr>
              <w:pStyle w:val="WhitneyBod"/>
              <w:tabs>
                <w:tab w:val="left" w:pos="116"/>
              </w:tabs>
              <w:spacing w:after="0" w:line="256" w:lineRule="auto"/>
              <w:ind w:right="0"/>
              <w:jc w:val="left"/>
              <w:rPr>
                <w:rFonts w:ascii="Arial" w:hAnsi="Arial"/>
                <w:color w:val="000000"/>
                <w:lang w:eastAsia="zh-TW"/>
              </w:rPr>
            </w:pPr>
            <w:r>
              <w:rPr>
                <w:rFonts w:ascii="Arial" w:hAnsi="Arial"/>
                <w:color w:val="000000"/>
                <w:lang w:eastAsia="zh-TW"/>
              </w:rPr>
              <w:tab/>
              <w:t>Thailand</w:t>
            </w:r>
          </w:p>
        </w:tc>
      </w:tr>
    </w:tbl>
    <w:p w14:paraId="3E43F166" w14:textId="77777777" w:rsidR="00CA69AE" w:rsidRPr="002141CF" w:rsidRDefault="00CA69AE" w:rsidP="0026131F">
      <w:pPr>
        <w:spacing w:before="0" w:after="160" w:line="259" w:lineRule="auto"/>
        <w:rPr>
          <w:i/>
          <w:iCs/>
          <w:lang w:val="en-US"/>
        </w:rPr>
      </w:pPr>
    </w:p>
    <w:p w14:paraId="16B7E08A" w14:textId="688CE10A" w:rsidR="00862BCD" w:rsidRDefault="00CA69AE" w:rsidP="0026131F">
      <w:pPr>
        <w:spacing w:before="0" w:after="160" w:line="259" w:lineRule="auto"/>
        <w:rPr>
          <w:lang w:val="en-US"/>
        </w:rPr>
      </w:pPr>
      <w:r w:rsidRPr="002141CF">
        <w:rPr>
          <w:lang w:val="en-US"/>
        </w:rPr>
        <w:t>The following sentence</w:t>
      </w:r>
      <w:r w:rsidR="007458EC">
        <w:rPr>
          <w:lang w:val="en-US"/>
        </w:rPr>
        <w:t>s</w:t>
      </w:r>
      <w:r w:rsidRPr="002141CF">
        <w:rPr>
          <w:lang w:val="en-US"/>
        </w:rPr>
        <w:t xml:space="preserve"> will be removed</w:t>
      </w:r>
      <w:r w:rsidR="00DF5526" w:rsidRPr="002141CF">
        <w:rPr>
          <w:lang w:val="en-US"/>
        </w:rPr>
        <w:t>:</w:t>
      </w:r>
    </w:p>
    <w:p w14:paraId="1B7A4570" w14:textId="45B5E940" w:rsidR="007458EC" w:rsidRPr="002141CF" w:rsidRDefault="007458EC" w:rsidP="0026131F">
      <w:pPr>
        <w:spacing w:before="0" w:after="160" w:line="259" w:lineRule="auto"/>
        <w:rPr>
          <w:u w:val="single"/>
          <w:lang w:val="en-US"/>
        </w:rPr>
      </w:pPr>
      <w:r w:rsidRPr="002141CF">
        <w:rPr>
          <w:u w:val="single"/>
          <w:lang w:val="en-US"/>
        </w:rPr>
        <w:t>Section 2.1 and 2.3</w:t>
      </w:r>
    </w:p>
    <w:p w14:paraId="61704494" w14:textId="03A2AAC9" w:rsidR="00CA69AE" w:rsidRDefault="00DF5526" w:rsidP="0026131F">
      <w:pPr>
        <w:spacing w:before="0" w:after="160" w:line="259" w:lineRule="auto"/>
        <w:rPr>
          <w:i/>
          <w:iCs/>
          <w:lang w:val="en-US"/>
        </w:rPr>
      </w:pPr>
      <w:r w:rsidRPr="002141CF">
        <w:rPr>
          <w:i/>
          <w:iCs/>
          <w:lang w:val="en-US"/>
        </w:rPr>
        <w:t>“</w:t>
      </w:r>
      <w:r w:rsidR="00CA69AE" w:rsidRPr="002141CF">
        <w:rPr>
          <w:i/>
          <w:iCs/>
          <w:lang w:val="en-US"/>
        </w:rPr>
        <w:t>The RAFI Multi-Factor Emerging Markets ex-China Exclusion Screened Index described in Section 2.11.3 excludes China from the Emerging Markets Region.</w:t>
      </w:r>
      <w:r w:rsidRPr="002141CF">
        <w:rPr>
          <w:i/>
          <w:iCs/>
          <w:lang w:val="en-US"/>
        </w:rPr>
        <w:t>”</w:t>
      </w:r>
    </w:p>
    <w:p w14:paraId="127EA67B" w14:textId="43B1292F" w:rsidR="007458EC" w:rsidRPr="002141CF" w:rsidRDefault="007458EC" w:rsidP="0026131F">
      <w:pPr>
        <w:spacing w:before="0" w:after="160" w:line="259" w:lineRule="auto"/>
        <w:rPr>
          <w:u w:val="single"/>
          <w:lang w:val="en-US"/>
        </w:rPr>
      </w:pPr>
      <w:r w:rsidRPr="002141CF">
        <w:rPr>
          <w:u w:val="single"/>
          <w:lang w:val="en-US"/>
        </w:rPr>
        <w:t>Section 2.10</w:t>
      </w:r>
    </w:p>
    <w:p w14:paraId="73DED44C" w14:textId="77777777" w:rsidR="009A1E21" w:rsidRDefault="007458EC" w:rsidP="0026131F">
      <w:pPr>
        <w:spacing w:before="0" w:after="160" w:line="259" w:lineRule="auto"/>
        <w:rPr>
          <w:i/>
          <w:iCs/>
          <w:lang w:val="en-US"/>
        </w:rPr>
      </w:pPr>
      <w:r>
        <w:rPr>
          <w:i/>
          <w:iCs/>
          <w:lang w:val="en-US"/>
        </w:rPr>
        <w:t>“As noted, Emerging Market Small is excluded.”</w:t>
      </w:r>
    </w:p>
    <w:p w14:paraId="7E85BFA5" w14:textId="5C52E9C3" w:rsidR="007458EC" w:rsidRPr="002141CF" w:rsidRDefault="007458EC" w:rsidP="0026131F">
      <w:pPr>
        <w:spacing w:before="0" w:after="160" w:line="259" w:lineRule="auto"/>
        <w:rPr>
          <w:i/>
          <w:iCs/>
          <w:lang w:val="en-US"/>
        </w:rPr>
      </w:pPr>
      <w:r>
        <w:rPr>
          <w:i/>
          <w:iCs/>
          <w:lang w:val="en-US"/>
        </w:rPr>
        <w:tab/>
      </w:r>
    </w:p>
    <w:p w14:paraId="0DA80510" w14:textId="12DE9877" w:rsidR="00435192" w:rsidRDefault="00435192" w:rsidP="00906A38">
      <w:pPr>
        <w:spacing w:before="0" w:after="160" w:line="259" w:lineRule="auto"/>
        <w:rPr>
          <w:lang w:val="en-US"/>
        </w:rPr>
      </w:pPr>
      <w:r>
        <w:rPr>
          <w:lang w:val="en-US"/>
        </w:rPr>
        <w:t xml:space="preserve">Table 2 in section 2.3 </w:t>
      </w:r>
      <w:r w:rsidR="00E01BAE">
        <w:rPr>
          <w:lang w:val="en-US"/>
        </w:rPr>
        <w:t xml:space="preserve">will be updated </w:t>
      </w:r>
      <w:r w:rsidR="000F458D">
        <w:rPr>
          <w:lang w:val="en-US"/>
        </w:rPr>
        <w:t xml:space="preserve">to reflect the new regions </w:t>
      </w:r>
      <w:r w:rsidR="00E01BAE">
        <w:rPr>
          <w:lang w:val="en-US"/>
        </w:rPr>
        <w:t>as follows:</w:t>
      </w:r>
    </w:p>
    <w:tbl>
      <w:tblPr>
        <w:tblStyle w:val="TableGrid"/>
        <w:tblW w:w="792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2592"/>
        <w:gridCol w:w="5328"/>
      </w:tblGrid>
      <w:tr w:rsidR="009A1E21" w14:paraId="28D8B27E" w14:textId="77777777" w:rsidTr="009A1E21">
        <w:tc>
          <w:tcPr>
            <w:tcW w:w="2592" w:type="dxa"/>
            <w:tcBorders>
              <w:top w:val="single" w:sz="4" w:space="0" w:color="auto"/>
              <w:left w:val="nil"/>
              <w:bottom w:val="single" w:sz="4" w:space="0" w:color="auto"/>
              <w:right w:val="nil"/>
            </w:tcBorders>
            <w:shd w:val="clear" w:color="auto" w:fill="005293"/>
            <w:hideMark/>
          </w:tcPr>
          <w:p w14:paraId="45AF8B0D" w14:textId="77777777" w:rsidR="009A1E21" w:rsidRDefault="009A1E21">
            <w:pPr>
              <w:pStyle w:val="WhitneyTable"/>
              <w:rPr>
                <w:b/>
                <w:color w:val="FFFFFF" w:themeColor="background1"/>
              </w:rPr>
            </w:pPr>
            <w:r>
              <w:rPr>
                <w:b/>
                <w:color w:val="FFFFFF" w:themeColor="background1"/>
              </w:rPr>
              <w:t>Table 2</w:t>
            </w:r>
          </w:p>
        </w:tc>
        <w:tc>
          <w:tcPr>
            <w:tcW w:w="5328" w:type="dxa"/>
            <w:tcBorders>
              <w:top w:val="single" w:sz="4" w:space="0" w:color="auto"/>
              <w:left w:val="nil"/>
              <w:bottom w:val="single" w:sz="4" w:space="0" w:color="auto"/>
              <w:right w:val="nil"/>
            </w:tcBorders>
            <w:shd w:val="clear" w:color="auto" w:fill="005293"/>
          </w:tcPr>
          <w:p w14:paraId="7A765646" w14:textId="77777777" w:rsidR="009A1E21" w:rsidRDefault="009A1E21">
            <w:pPr>
              <w:pStyle w:val="WhitneyTable"/>
              <w:rPr>
                <w:b/>
                <w:color w:val="FFFFFF" w:themeColor="background1"/>
              </w:rPr>
            </w:pPr>
          </w:p>
        </w:tc>
      </w:tr>
      <w:tr w:rsidR="009A1E21" w14:paraId="0F6DA6EC" w14:textId="77777777" w:rsidTr="009A1E21">
        <w:tc>
          <w:tcPr>
            <w:tcW w:w="2592" w:type="dxa"/>
            <w:tcBorders>
              <w:top w:val="single" w:sz="4" w:space="0" w:color="auto"/>
              <w:left w:val="nil"/>
              <w:bottom w:val="single" w:sz="4" w:space="0" w:color="auto"/>
              <w:right w:val="nil"/>
            </w:tcBorders>
            <w:hideMark/>
          </w:tcPr>
          <w:p w14:paraId="1C445761" w14:textId="77777777" w:rsidR="009A1E21" w:rsidRDefault="009A1E21">
            <w:pPr>
              <w:pStyle w:val="WhitneyBod"/>
              <w:spacing w:after="0"/>
              <w:jc w:val="left"/>
            </w:pPr>
            <w:r>
              <w:rPr>
                <w:b/>
              </w:rPr>
              <w:t>Region &amp; Size Groups</w:t>
            </w:r>
          </w:p>
        </w:tc>
        <w:tc>
          <w:tcPr>
            <w:tcW w:w="5328" w:type="dxa"/>
            <w:tcBorders>
              <w:top w:val="single" w:sz="4" w:space="0" w:color="auto"/>
              <w:left w:val="nil"/>
              <w:bottom w:val="single" w:sz="4" w:space="0" w:color="auto"/>
              <w:right w:val="nil"/>
            </w:tcBorders>
            <w:hideMark/>
          </w:tcPr>
          <w:p w14:paraId="04D8E248" w14:textId="77777777" w:rsidR="009A1E21" w:rsidRDefault="009A1E21">
            <w:pPr>
              <w:pStyle w:val="WhitneyBod"/>
              <w:spacing w:after="0"/>
            </w:pPr>
            <w:r>
              <w:rPr>
                <w:b/>
              </w:rPr>
              <w:t>RAFI Single Factor Construction</w:t>
            </w:r>
          </w:p>
        </w:tc>
      </w:tr>
      <w:tr w:rsidR="009A1E21" w14:paraId="751DAB33" w14:textId="77777777" w:rsidTr="009A1E21">
        <w:trPr>
          <w:trHeight w:val="432"/>
        </w:trPr>
        <w:tc>
          <w:tcPr>
            <w:tcW w:w="2592" w:type="dxa"/>
            <w:tcBorders>
              <w:top w:val="single" w:sz="4" w:space="0" w:color="auto"/>
              <w:left w:val="nil"/>
              <w:bottom w:val="dashSmallGap" w:sz="4" w:space="0" w:color="auto"/>
              <w:right w:val="nil"/>
            </w:tcBorders>
            <w:hideMark/>
          </w:tcPr>
          <w:p w14:paraId="7CA95923" w14:textId="77777777" w:rsidR="009A1E21" w:rsidRDefault="009A1E21">
            <w:pPr>
              <w:pStyle w:val="WhitneyBod"/>
              <w:spacing w:after="0"/>
              <w:jc w:val="left"/>
            </w:pPr>
            <w:r>
              <w:t>US Large/Mid</w:t>
            </w:r>
          </w:p>
        </w:tc>
        <w:tc>
          <w:tcPr>
            <w:tcW w:w="5328" w:type="dxa"/>
            <w:tcBorders>
              <w:top w:val="single" w:sz="4" w:space="0" w:color="auto"/>
              <w:left w:val="nil"/>
              <w:bottom w:val="dashSmallGap" w:sz="4" w:space="0" w:color="auto"/>
              <w:right w:val="nil"/>
            </w:tcBorders>
            <w:hideMark/>
          </w:tcPr>
          <w:p w14:paraId="07CD96C5" w14:textId="77777777" w:rsidR="009A1E21" w:rsidRDefault="009A1E21">
            <w:pPr>
              <w:pStyle w:val="WhitneyBod"/>
              <w:spacing w:after="0"/>
              <w:jc w:val="left"/>
            </w:pPr>
            <w:r>
              <w:rPr>
                <w:lang w:val="en-US"/>
              </w:rPr>
              <w:t>RAFI Factor Developed, &amp; US for Value, Low Volatility, Quality, and Momentum</w:t>
            </w:r>
          </w:p>
        </w:tc>
      </w:tr>
      <w:tr w:rsidR="009A1E21" w14:paraId="2FB9E6C7" w14:textId="77777777" w:rsidTr="009A1E21">
        <w:trPr>
          <w:trHeight w:val="432"/>
        </w:trPr>
        <w:tc>
          <w:tcPr>
            <w:tcW w:w="2592" w:type="dxa"/>
            <w:tcBorders>
              <w:top w:val="dashSmallGap" w:sz="4" w:space="0" w:color="auto"/>
              <w:left w:val="nil"/>
              <w:bottom w:val="dashSmallGap" w:sz="4" w:space="0" w:color="auto"/>
              <w:right w:val="nil"/>
            </w:tcBorders>
            <w:hideMark/>
          </w:tcPr>
          <w:p w14:paraId="0E3DC71B" w14:textId="77777777" w:rsidR="009A1E21" w:rsidRDefault="009A1E21">
            <w:pPr>
              <w:pStyle w:val="WhitneyBod"/>
              <w:spacing w:after="0"/>
              <w:jc w:val="left"/>
            </w:pPr>
            <w:r>
              <w:t>Japan Large/Mid</w:t>
            </w:r>
          </w:p>
        </w:tc>
        <w:tc>
          <w:tcPr>
            <w:tcW w:w="5328" w:type="dxa"/>
            <w:tcBorders>
              <w:top w:val="dashSmallGap" w:sz="4" w:space="0" w:color="auto"/>
              <w:left w:val="nil"/>
              <w:bottom w:val="dashSmallGap" w:sz="4" w:space="0" w:color="auto"/>
              <w:right w:val="nil"/>
            </w:tcBorders>
            <w:hideMark/>
          </w:tcPr>
          <w:p w14:paraId="730C08C8" w14:textId="77777777" w:rsidR="009A1E21" w:rsidRDefault="009A1E21">
            <w:pPr>
              <w:pStyle w:val="WhitneyBod"/>
              <w:spacing w:after="0"/>
              <w:jc w:val="left"/>
            </w:pPr>
            <w:r>
              <w:rPr>
                <w:lang w:val="en-US"/>
              </w:rPr>
              <w:t>RAFI Factor Developed, &amp; Developed ex US for Value, Low Volatility, Quality, and Momentum</w:t>
            </w:r>
          </w:p>
        </w:tc>
      </w:tr>
      <w:tr w:rsidR="009A1E21" w14:paraId="02E813B3" w14:textId="77777777" w:rsidTr="009A1E21">
        <w:trPr>
          <w:trHeight w:val="432"/>
        </w:trPr>
        <w:tc>
          <w:tcPr>
            <w:tcW w:w="2592" w:type="dxa"/>
            <w:tcBorders>
              <w:top w:val="dashSmallGap" w:sz="4" w:space="0" w:color="auto"/>
              <w:left w:val="nil"/>
              <w:bottom w:val="dashSmallGap" w:sz="4" w:space="0" w:color="auto"/>
              <w:right w:val="nil"/>
            </w:tcBorders>
            <w:hideMark/>
          </w:tcPr>
          <w:p w14:paraId="09D73F88" w14:textId="77777777" w:rsidR="009A1E21" w:rsidRDefault="009A1E21">
            <w:pPr>
              <w:pStyle w:val="WhitneyBod"/>
              <w:spacing w:after="0"/>
              <w:jc w:val="left"/>
            </w:pPr>
            <w:r>
              <w:t>UK Large/Mid</w:t>
            </w:r>
          </w:p>
        </w:tc>
        <w:tc>
          <w:tcPr>
            <w:tcW w:w="5328" w:type="dxa"/>
            <w:tcBorders>
              <w:top w:val="dashSmallGap" w:sz="4" w:space="0" w:color="auto"/>
              <w:left w:val="nil"/>
              <w:bottom w:val="dashSmallGap" w:sz="4" w:space="0" w:color="auto"/>
              <w:right w:val="nil"/>
            </w:tcBorders>
            <w:hideMark/>
          </w:tcPr>
          <w:p w14:paraId="21ACF2B7" w14:textId="77777777" w:rsidR="009A1E21" w:rsidRDefault="009A1E21">
            <w:pPr>
              <w:pStyle w:val="WhitneyBod"/>
              <w:spacing w:after="0"/>
              <w:jc w:val="left"/>
            </w:pPr>
            <w:r>
              <w:rPr>
                <w:lang w:val="en-US"/>
              </w:rPr>
              <w:t>RAFI Factor Developed &amp; Developed ex US for Value, Low Volatility, Quality, and Momentum</w:t>
            </w:r>
          </w:p>
        </w:tc>
      </w:tr>
      <w:tr w:rsidR="009A1E21" w14:paraId="0A2CA6C0" w14:textId="77777777" w:rsidTr="009A1E21">
        <w:trPr>
          <w:trHeight w:val="432"/>
        </w:trPr>
        <w:tc>
          <w:tcPr>
            <w:tcW w:w="2592" w:type="dxa"/>
            <w:tcBorders>
              <w:top w:val="dashSmallGap" w:sz="4" w:space="0" w:color="auto"/>
              <w:left w:val="nil"/>
              <w:bottom w:val="dashSmallGap" w:sz="4" w:space="0" w:color="auto"/>
              <w:right w:val="nil"/>
            </w:tcBorders>
            <w:hideMark/>
          </w:tcPr>
          <w:p w14:paraId="1C487CDE" w14:textId="77777777" w:rsidR="009A1E21" w:rsidRDefault="009A1E21">
            <w:pPr>
              <w:pStyle w:val="WhitneyBod"/>
              <w:spacing w:after="0"/>
              <w:jc w:val="left"/>
            </w:pPr>
            <w:r>
              <w:rPr>
                <w:lang w:val="en-US"/>
              </w:rPr>
              <w:t>Developed Europe, excluding UK Large/Mid</w:t>
            </w:r>
          </w:p>
        </w:tc>
        <w:tc>
          <w:tcPr>
            <w:tcW w:w="5328" w:type="dxa"/>
            <w:tcBorders>
              <w:top w:val="dashSmallGap" w:sz="4" w:space="0" w:color="auto"/>
              <w:left w:val="nil"/>
              <w:bottom w:val="dashSmallGap" w:sz="4" w:space="0" w:color="auto"/>
              <w:right w:val="nil"/>
            </w:tcBorders>
            <w:hideMark/>
          </w:tcPr>
          <w:p w14:paraId="23EB0507" w14:textId="77777777" w:rsidR="009A1E21" w:rsidRDefault="009A1E21">
            <w:pPr>
              <w:pStyle w:val="WhitneyBod"/>
              <w:spacing w:after="0"/>
              <w:jc w:val="left"/>
            </w:pPr>
            <w:r>
              <w:rPr>
                <w:lang w:val="en-US"/>
              </w:rPr>
              <w:t>RAFI Factor Developed &amp; Developed ex US for Value, Low Volatility, Quality, and Momentum</w:t>
            </w:r>
          </w:p>
        </w:tc>
      </w:tr>
      <w:tr w:rsidR="009A1E21" w14:paraId="59E9D393" w14:textId="77777777" w:rsidTr="009A1E21">
        <w:trPr>
          <w:trHeight w:val="432"/>
        </w:trPr>
        <w:tc>
          <w:tcPr>
            <w:tcW w:w="2592" w:type="dxa"/>
            <w:tcBorders>
              <w:top w:val="dashSmallGap" w:sz="4" w:space="0" w:color="auto"/>
              <w:left w:val="nil"/>
              <w:bottom w:val="dashSmallGap" w:sz="4" w:space="0" w:color="auto"/>
              <w:right w:val="nil"/>
            </w:tcBorders>
            <w:hideMark/>
          </w:tcPr>
          <w:p w14:paraId="6E05D8FB" w14:textId="77777777" w:rsidR="009A1E21" w:rsidRDefault="009A1E21">
            <w:pPr>
              <w:pStyle w:val="WhitneyBod"/>
              <w:spacing w:after="0"/>
              <w:jc w:val="left"/>
            </w:pPr>
            <w:r>
              <w:rPr>
                <w:lang w:val="en-US"/>
              </w:rPr>
              <w:t>Other Developed Markets Large/Mid</w:t>
            </w:r>
          </w:p>
        </w:tc>
        <w:tc>
          <w:tcPr>
            <w:tcW w:w="5328" w:type="dxa"/>
            <w:tcBorders>
              <w:top w:val="dashSmallGap" w:sz="4" w:space="0" w:color="auto"/>
              <w:left w:val="nil"/>
              <w:bottom w:val="dashSmallGap" w:sz="4" w:space="0" w:color="auto"/>
              <w:right w:val="nil"/>
            </w:tcBorders>
            <w:hideMark/>
          </w:tcPr>
          <w:p w14:paraId="71620F17" w14:textId="77777777" w:rsidR="009A1E21" w:rsidRDefault="009A1E21">
            <w:pPr>
              <w:pStyle w:val="WhitneyBod"/>
              <w:spacing w:after="0"/>
              <w:jc w:val="left"/>
            </w:pPr>
            <w:r>
              <w:rPr>
                <w:lang w:val="en-US"/>
              </w:rPr>
              <w:t>RAFI Factor Developed, &amp; Developed ex US for Value, Low Volatility, Quality, and Momentum</w:t>
            </w:r>
          </w:p>
        </w:tc>
      </w:tr>
      <w:tr w:rsidR="009A1E21" w14:paraId="12AEA8C6" w14:textId="77777777" w:rsidTr="009A1E21">
        <w:trPr>
          <w:trHeight w:val="432"/>
        </w:trPr>
        <w:tc>
          <w:tcPr>
            <w:tcW w:w="2592" w:type="dxa"/>
            <w:tcBorders>
              <w:top w:val="dashSmallGap" w:sz="4" w:space="0" w:color="auto"/>
              <w:left w:val="nil"/>
              <w:bottom w:val="dashSmallGap" w:sz="4" w:space="0" w:color="auto"/>
              <w:right w:val="nil"/>
            </w:tcBorders>
            <w:hideMark/>
          </w:tcPr>
          <w:p w14:paraId="7A668FBB" w14:textId="77777777" w:rsidR="009A1E21" w:rsidRDefault="009A1E21">
            <w:pPr>
              <w:pStyle w:val="WhitneyBod"/>
              <w:spacing w:after="0"/>
              <w:jc w:val="left"/>
            </w:pPr>
            <w:r>
              <w:t>China Large/Mid</w:t>
            </w:r>
          </w:p>
        </w:tc>
        <w:tc>
          <w:tcPr>
            <w:tcW w:w="5328" w:type="dxa"/>
            <w:tcBorders>
              <w:top w:val="dashSmallGap" w:sz="4" w:space="0" w:color="auto"/>
              <w:left w:val="nil"/>
              <w:bottom w:val="dashSmallGap" w:sz="4" w:space="0" w:color="auto"/>
              <w:right w:val="nil"/>
            </w:tcBorders>
            <w:hideMark/>
          </w:tcPr>
          <w:p w14:paraId="4BA4F743" w14:textId="77777777" w:rsidR="009A1E21" w:rsidRDefault="009A1E21">
            <w:pPr>
              <w:pStyle w:val="WhitneyBod"/>
              <w:spacing w:after="0"/>
              <w:jc w:val="left"/>
              <w:rPr>
                <w:lang w:val="en-US"/>
              </w:rPr>
            </w:pPr>
            <w:r>
              <w:rPr>
                <w:lang w:val="en-US"/>
              </w:rPr>
              <w:t>RAFI Factor EM for Value, Low Volatility, Quality and Momentum</w:t>
            </w:r>
          </w:p>
        </w:tc>
      </w:tr>
      <w:tr w:rsidR="009A1E21" w14:paraId="21046174" w14:textId="77777777" w:rsidTr="009A1E21">
        <w:trPr>
          <w:trHeight w:val="432"/>
        </w:trPr>
        <w:tc>
          <w:tcPr>
            <w:tcW w:w="2592" w:type="dxa"/>
            <w:tcBorders>
              <w:top w:val="dashSmallGap" w:sz="4" w:space="0" w:color="auto"/>
              <w:left w:val="nil"/>
              <w:bottom w:val="dashSmallGap" w:sz="4" w:space="0" w:color="auto"/>
              <w:right w:val="nil"/>
            </w:tcBorders>
            <w:hideMark/>
          </w:tcPr>
          <w:p w14:paraId="518D68D4" w14:textId="77777777" w:rsidR="009A1E21" w:rsidRDefault="009A1E21">
            <w:pPr>
              <w:pStyle w:val="WhitneyBod"/>
              <w:spacing w:after="0"/>
              <w:jc w:val="left"/>
            </w:pPr>
            <w:r>
              <w:t>Emerging Markets ex-China Large/Mid*</w:t>
            </w:r>
          </w:p>
        </w:tc>
        <w:tc>
          <w:tcPr>
            <w:tcW w:w="5328" w:type="dxa"/>
            <w:tcBorders>
              <w:top w:val="dashSmallGap" w:sz="4" w:space="0" w:color="auto"/>
              <w:left w:val="nil"/>
              <w:bottom w:val="dashSmallGap" w:sz="4" w:space="0" w:color="auto"/>
              <w:right w:val="nil"/>
            </w:tcBorders>
            <w:hideMark/>
          </w:tcPr>
          <w:p w14:paraId="38FB6FFF" w14:textId="77777777" w:rsidR="009A1E21" w:rsidRDefault="009A1E21">
            <w:pPr>
              <w:pStyle w:val="WhitneyBod"/>
              <w:spacing w:after="0"/>
              <w:jc w:val="left"/>
            </w:pPr>
            <w:r>
              <w:rPr>
                <w:lang w:val="en-US"/>
              </w:rPr>
              <w:t>RAFI Factor EM for Value, Low Volatility, Quality, and Momentum</w:t>
            </w:r>
          </w:p>
        </w:tc>
      </w:tr>
      <w:tr w:rsidR="009A1E21" w14:paraId="457C0782" w14:textId="77777777" w:rsidTr="009A1E21">
        <w:trPr>
          <w:trHeight w:val="216"/>
        </w:trPr>
        <w:tc>
          <w:tcPr>
            <w:tcW w:w="2592" w:type="dxa"/>
            <w:tcBorders>
              <w:top w:val="dashSmallGap" w:sz="4" w:space="0" w:color="auto"/>
              <w:left w:val="nil"/>
              <w:bottom w:val="dashSmallGap" w:sz="4" w:space="0" w:color="auto"/>
              <w:right w:val="nil"/>
            </w:tcBorders>
            <w:hideMark/>
          </w:tcPr>
          <w:p w14:paraId="401B747C" w14:textId="77777777" w:rsidR="009A1E21" w:rsidRDefault="009A1E21">
            <w:pPr>
              <w:pStyle w:val="WhitneyBod"/>
              <w:spacing w:after="0"/>
              <w:jc w:val="left"/>
            </w:pPr>
            <w:r>
              <w:lastRenderedPageBreak/>
              <w:t>US Small</w:t>
            </w:r>
          </w:p>
        </w:tc>
        <w:tc>
          <w:tcPr>
            <w:tcW w:w="5328" w:type="dxa"/>
            <w:tcBorders>
              <w:top w:val="dashSmallGap" w:sz="4" w:space="0" w:color="auto"/>
              <w:left w:val="nil"/>
              <w:bottom w:val="dashSmallGap" w:sz="4" w:space="0" w:color="auto"/>
              <w:right w:val="nil"/>
            </w:tcBorders>
            <w:hideMark/>
          </w:tcPr>
          <w:p w14:paraId="78508E9D" w14:textId="77777777" w:rsidR="009A1E21" w:rsidRDefault="009A1E21">
            <w:pPr>
              <w:pStyle w:val="WhitneyBod"/>
              <w:spacing w:after="0"/>
              <w:jc w:val="left"/>
            </w:pPr>
            <w:r>
              <w:rPr>
                <w:lang w:val="en-US"/>
              </w:rPr>
              <w:t xml:space="preserve">RAFI Size Factor Developed &amp; US </w:t>
            </w:r>
          </w:p>
        </w:tc>
      </w:tr>
      <w:tr w:rsidR="009A1E21" w14:paraId="4F8C04E1" w14:textId="77777777" w:rsidTr="009A1E21">
        <w:trPr>
          <w:trHeight w:val="216"/>
        </w:trPr>
        <w:tc>
          <w:tcPr>
            <w:tcW w:w="2592" w:type="dxa"/>
            <w:tcBorders>
              <w:top w:val="dashSmallGap" w:sz="4" w:space="0" w:color="auto"/>
              <w:left w:val="nil"/>
              <w:bottom w:val="dashSmallGap" w:sz="4" w:space="0" w:color="auto"/>
              <w:right w:val="nil"/>
            </w:tcBorders>
            <w:hideMark/>
          </w:tcPr>
          <w:p w14:paraId="4238E469" w14:textId="77777777" w:rsidR="009A1E21" w:rsidRDefault="009A1E21">
            <w:pPr>
              <w:pStyle w:val="WhitneyBod"/>
              <w:spacing w:after="0"/>
              <w:jc w:val="left"/>
            </w:pPr>
            <w:r>
              <w:t>Japan Small</w:t>
            </w:r>
          </w:p>
        </w:tc>
        <w:tc>
          <w:tcPr>
            <w:tcW w:w="5328" w:type="dxa"/>
            <w:tcBorders>
              <w:top w:val="dashSmallGap" w:sz="4" w:space="0" w:color="auto"/>
              <w:left w:val="nil"/>
              <w:bottom w:val="dashSmallGap" w:sz="4" w:space="0" w:color="auto"/>
              <w:right w:val="nil"/>
            </w:tcBorders>
            <w:hideMark/>
          </w:tcPr>
          <w:p w14:paraId="1B9F7659" w14:textId="77777777" w:rsidR="009A1E21" w:rsidRDefault="009A1E21">
            <w:pPr>
              <w:pStyle w:val="WhitneyBod"/>
              <w:spacing w:after="0"/>
              <w:jc w:val="left"/>
            </w:pPr>
            <w:r>
              <w:rPr>
                <w:lang w:val="en-US"/>
              </w:rPr>
              <w:t>RAFI Size Factor Developed &amp; Developed ex US</w:t>
            </w:r>
          </w:p>
        </w:tc>
      </w:tr>
      <w:tr w:rsidR="009A1E21" w14:paraId="74490950" w14:textId="77777777" w:rsidTr="009A1E21">
        <w:trPr>
          <w:trHeight w:val="216"/>
        </w:trPr>
        <w:tc>
          <w:tcPr>
            <w:tcW w:w="2592" w:type="dxa"/>
            <w:tcBorders>
              <w:top w:val="dashSmallGap" w:sz="4" w:space="0" w:color="auto"/>
              <w:left w:val="nil"/>
              <w:bottom w:val="dashSmallGap" w:sz="4" w:space="0" w:color="auto"/>
              <w:right w:val="nil"/>
            </w:tcBorders>
            <w:hideMark/>
          </w:tcPr>
          <w:p w14:paraId="49A40FB1" w14:textId="77777777" w:rsidR="009A1E21" w:rsidRDefault="009A1E21">
            <w:pPr>
              <w:pStyle w:val="WhitneyBod"/>
              <w:spacing w:after="0"/>
              <w:jc w:val="left"/>
            </w:pPr>
            <w:r>
              <w:t>UK Small</w:t>
            </w:r>
          </w:p>
        </w:tc>
        <w:tc>
          <w:tcPr>
            <w:tcW w:w="5328" w:type="dxa"/>
            <w:tcBorders>
              <w:top w:val="dashSmallGap" w:sz="4" w:space="0" w:color="auto"/>
              <w:left w:val="nil"/>
              <w:bottom w:val="dashSmallGap" w:sz="4" w:space="0" w:color="auto"/>
              <w:right w:val="nil"/>
            </w:tcBorders>
            <w:hideMark/>
          </w:tcPr>
          <w:p w14:paraId="35FADEFB" w14:textId="77777777" w:rsidR="009A1E21" w:rsidRDefault="009A1E21">
            <w:pPr>
              <w:pStyle w:val="WhitneyBod"/>
              <w:spacing w:after="0"/>
              <w:jc w:val="left"/>
            </w:pPr>
            <w:r>
              <w:rPr>
                <w:lang w:val="en-US"/>
              </w:rPr>
              <w:t>RAFI Size Factor Developed &amp; Developed ex US</w:t>
            </w:r>
          </w:p>
        </w:tc>
      </w:tr>
      <w:tr w:rsidR="009A1E21" w14:paraId="0AD5F744" w14:textId="77777777" w:rsidTr="009A1E21">
        <w:trPr>
          <w:trHeight w:val="432"/>
        </w:trPr>
        <w:tc>
          <w:tcPr>
            <w:tcW w:w="2592" w:type="dxa"/>
            <w:tcBorders>
              <w:top w:val="dashSmallGap" w:sz="4" w:space="0" w:color="auto"/>
              <w:left w:val="nil"/>
              <w:bottom w:val="dashSmallGap" w:sz="4" w:space="0" w:color="auto"/>
              <w:right w:val="nil"/>
            </w:tcBorders>
            <w:hideMark/>
          </w:tcPr>
          <w:p w14:paraId="30F742DE" w14:textId="77777777" w:rsidR="009A1E21" w:rsidRDefault="009A1E21">
            <w:pPr>
              <w:pStyle w:val="WhitneyBod"/>
              <w:spacing w:after="0"/>
              <w:jc w:val="left"/>
            </w:pPr>
            <w:r>
              <w:rPr>
                <w:lang w:val="en-US"/>
              </w:rPr>
              <w:t>Developed Europe, excluding UK Small</w:t>
            </w:r>
          </w:p>
        </w:tc>
        <w:tc>
          <w:tcPr>
            <w:tcW w:w="5328" w:type="dxa"/>
            <w:tcBorders>
              <w:top w:val="dashSmallGap" w:sz="4" w:space="0" w:color="auto"/>
              <w:left w:val="nil"/>
              <w:bottom w:val="dashSmallGap" w:sz="4" w:space="0" w:color="auto"/>
              <w:right w:val="nil"/>
            </w:tcBorders>
            <w:hideMark/>
          </w:tcPr>
          <w:p w14:paraId="18CCFB6B" w14:textId="77777777" w:rsidR="009A1E21" w:rsidRDefault="009A1E21">
            <w:pPr>
              <w:pStyle w:val="WhitneyBod"/>
              <w:spacing w:after="0"/>
              <w:jc w:val="left"/>
            </w:pPr>
            <w:r>
              <w:rPr>
                <w:lang w:val="en-US"/>
              </w:rPr>
              <w:t>RAFI Size Factor Developed &amp; Developed ex US</w:t>
            </w:r>
          </w:p>
        </w:tc>
      </w:tr>
      <w:tr w:rsidR="009A1E21" w14:paraId="5EF92C94" w14:textId="77777777" w:rsidTr="009A1E21">
        <w:trPr>
          <w:trHeight w:val="432"/>
        </w:trPr>
        <w:tc>
          <w:tcPr>
            <w:tcW w:w="2592" w:type="dxa"/>
            <w:tcBorders>
              <w:top w:val="dashSmallGap" w:sz="4" w:space="0" w:color="auto"/>
              <w:left w:val="nil"/>
              <w:bottom w:val="dashSmallGap" w:sz="4" w:space="0" w:color="auto"/>
              <w:right w:val="nil"/>
            </w:tcBorders>
            <w:hideMark/>
          </w:tcPr>
          <w:p w14:paraId="4D7B9271" w14:textId="77777777" w:rsidR="009A1E21" w:rsidRDefault="009A1E21">
            <w:pPr>
              <w:pStyle w:val="WhitneyBod"/>
              <w:spacing w:after="0"/>
              <w:jc w:val="left"/>
            </w:pPr>
            <w:r>
              <w:t>Other Developed Markets Small</w:t>
            </w:r>
          </w:p>
        </w:tc>
        <w:tc>
          <w:tcPr>
            <w:tcW w:w="5328" w:type="dxa"/>
            <w:tcBorders>
              <w:top w:val="dashSmallGap" w:sz="4" w:space="0" w:color="auto"/>
              <w:left w:val="nil"/>
              <w:bottom w:val="dashSmallGap" w:sz="4" w:space="0" w:color="auto"/>
              <w:right w:val="nil"/>
            </w:tcBorders>
            <w:hideMark/>
          </w:tcPr>
          <w:p w14:paraId="18ADCF5F" w14:textId="77777777" w:rsidR="009A1E21" w:rsidRDefault="009A1E21">
            <w:pPr>
              <w:pStyle w:val="WhitneyBod"/>
              <w:spacing w:after="0"/>
              <w:jc w:val="left"/>
            </w:pPr>
            <w:r>
              <w:rPr>
                <w:lang w:val="en-US"/>
              </w:rPr>
              <w:t>RAFI Size Factor Developed &amp; Developed ex US</w:t>
            </w:r>
          </w:p>
        </w:tc>
      </w:tr>
      <w:tr w:rsidR="009A1E21" w14:paraId="2D0FAC7F" w14:textId="77777777" w:rsidTr="009A1E21">
        <w:trPr>
          <w:trHeight w:val="216"/>
        </w:trPr>
        <w:tc>
          <w:tcPr>
            <w:tcW w:w="2592" w:type="dxa"/>
            <w:tcBorders>
              <w:top w:val="nil"/>
              <w:left w:val="nil"/>
              <w:bottom w:val="single" w:sz="4" w:space="0" w:color="auto"/>
              <w:right w:val="nil"/>
            </w:tcBorders>
            <w:hideMark/>
          </w:tcPr>
          <w:p w14:paraId="18300508" w14:textId="77777777" w:rsidR="009A1E21" w:rsidRDefault="009A1E21">
            <w:pPr>
              <w:pStyle w:val="WhitneyBod"/>
              <w:spacing w:after="0"/>
              <w:jc w:val="left"/>
            </w:pPr>
            <w:r>
              <w:t>China Small</w:t>
            </w:r>
          </w:p>
        </w:tc>
        <w:tc>
          <w:tcPr>
            <w:tcW w:w="5328" w:type="dxa"/>
            <w:tcBorders>
              <w:top w:val="nil"/>
              <w:left w:val="nil"/>
              <w:bottom w:val="single" w:sz="4" w:space="0" w:color="auto"/>
              <w:right w:val="nil"/>
            </w:tcBorders>
            <w:hideMark/>
          </w:tcPr>
          <w:p w14:paraId="053DC087" w14:textId="77777777" w:rsidR="009A1E21" w:rsidRDefault="009A1E21">
            <w:pPr>
              <w:pStyle w:val="WhitneyBod"/>
              <w:spacing w:after="0"/>
              <w:jc w:val="left"/>
            </w:pPr>
            <w:r>
              <w:t>None</w:t>
            </w:r>
          </w:p>
        </w:tc>
      </w:tr>
      <w:tr w:rsidR="009A1E21" w14:paraId="326616B9" w14:textId="77777777" w:rsidTr="009A1E21">
        <w:trPr>
          <w:trHeight w:val="216"/>
        </w:trPr>
        <w:tc>
          <w:tcPr>
            <w:tcW w:w="2592" w:type="dxa"/>
            <w:tcBorders>
              <w:top w:val="nil"/>
              <w:left w:val="nil"/>
              <w:bottom w:val="single" w:sz="4" w:space="0" w:color="auto"/>
              <w:right w:val="nil"/>
            </w:tcBorders>
            <w:hideMark/>
          </w:tcPr>
          <w:p w14:paraId="4D59597B" w14:textId="77777777" w:rsidR="009A1E21" w:rsidRDefault="009A1E21">
            <w:pPr>
              <w:pStyle w:val="WhitneyBod"/>
              <w:spacing w:after="0"/>
              <w:jc w:val="left"/>
            </w:pPr>
            <w:r>
              <w:t>Emerging Markets ex-China Small</w:t>
            </w:r>
          </w:p>
        </w:tc>
        <w:tc>
          <w:tcPr>
            <w:tcW w:w="5328" w:type="dxa"/>
            <w:tcBorders>
              <w:top w:val="nil"/>
              <w:left w:val="nil"/>
              <w:bottom w:val="single" w:sz="4" w:space="0" w:color="auto"/>
              <w:right w:val="nil"/>
            </w:tcBorders>
            <w:hideMark/>
          </w:tcPr>
          <w:p w14:paraId="77CA9940" w14:textId="77777777" w:rsidR="009A1E21" w:rsidRDefault="009A1E21">
            <w:pPr>
              <w:pStyle w:val="WhitneyBod"/>
              <w:spacing w:after="0"/>
              <w:jc w:val="left"/>
            </w:pPr>
            <w:r>
              <w:t>None</w:t>
            </w:r>
          </w:p>
        </w:tc>
      </w:tr>
    </w:tbl>
    <w:p w14:paraId="14B2AF3F" w14:textId="77777777" w:rsidR="00E01BAE" w:rsidRPr="00906A38" w:rsidRDefault="00E01BAE" w:rsidP="00906A38">
      <w:pPr>
        <w:spacing w:before="0" w:after="160" w:line="259" w:lineRule="auto"/>
        <w:rPr>
          <w:i/>
          <w:iCs/>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2AA0DC6"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E45951">
        <w:rPr>
          <w:lang w:val="en-US"/>
        </w:rPr>
        <w:t>Indices</w:t>
      </w:r>
      <w:r w:rsidR="00C04273" w:rsidRPr="00C04273">
        <w:rPr>
          <w:lang w:val="en-US"/>
        </w:rPr>
        <w:t xml:space="preserve"> </w:t>
      </w:r>
      <w:r w:rsidRPr="00C04273">
        <w:rPr>
          <w:lang w:val="en-US"/>
        </w:rPr>
        <w:t xml:space="preserve">and welcomes any feedback on how this may affect and/or improve their use of </w:t>
      </w:r>
      <w:r w:rsidR="00E45951">
        <w:rPr>
          <w:lang w:val="en-US"/>
        </w:rPr>
        <w:t>the</w:t>
      </w:r>
      <w:r w:rsidR="00E45951" w:rsidRPr="00C04273">
        <w:rPr>
          <w:lang w:val="en-US"/>
        </w:rPr>
        <w:t xml:space="preserve"> </w:t>
      </w:r>
      <w:r w:rsidR="00E45951">
        <w:rPr>
          <w:lang w:val="en-US"/>
        </w:rPr>
        <w:t>I</w:t>
      </w:r>
      <w:r w:rsidR="00E45951" w:rsidRPr="00C04273">
        <w:rPr>
          <w:lang w:val="en-US"/>
        </w:rPr>
        <w:t>ndices</w:t>
      </w:r>
      <w:r w:rsidRPr="00C04273">
        <w:rPr>
          <w:lang w:val="en-US"/>
        </w:rPr>
        <w:t xml:space="preserve">.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A172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12775ADC"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E45951">
        <w:rPr>
          <w:i/>
          <w:lang w:val="en-US"/>
        </w:rPr>
        <w:t>2023-01-10</w:t>
      </w:r>
      <w:r w:rsidR="001C4A17">
        <w:rPr>
          <w:i/>
          <w:lang w:val="en-US"/>
        </w:rPr>
        <w:t>.</w:t>
      </w:r>
    </w:p>
    <w:p w14:paraId="741A56A5" w14:textId="0408D9A9"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2141CF">
        <w:rPr>
          <w:lang w:val="en-US"/>
        </w:rPr>
        <w:t xml:space="preserve">above are intended to </w:t>
      </w:r>
      <w:r w:rsidRPr="00FE1081">
        <w:rPr>
          <w:lang w:val="en-US"/>
        </w:rPr>
        <w:t xml:space="preserve">become effective on </w:t>
      </w:r>
      <w:r w:rsidR="001B76F0">
        <w:rPr>
          <w:i/>
          <w:lang w:val="en-US"/>
        </w:rPr>
        <w:t>2023-01-</w:t>
      </w:r>
      <w:r w:rsidR="00DE1077">
        <w:rPr>
          <w:i/>
          <w:lang w:val="en-US"/>
        </w:rPr>
        <w:t>17</w:t>
      </w:r>
      <w:r w:rsidR="004819FA" w:rsidRPr="002141CF">
        <w:rPr>
          <w:lang w:val="en-US"/>
        </w:rPr>
        <w:t>.</w:t>
      </w:r>
    </w:p>
    <w:p w14:paraId="0D223365" w14:textId="77777777" w:rsidR="00651886" w:rsidRPr="00C04273" w:rsidRDefault="00651886" w:rsidP="005055F5">
      <w:pPr>
        <w:spacing w:before="0" w:after="0" w:line="360" w:lineRule="auto"/>
        <w:rPr>
          <w:lang w:val="en-US"/>
        </w:rPr>
      </w:pPr>
    </w:p>
    <w:p w14:paraId="04131284" w14:textId="147D327A"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B76F0" w:rsidRPr="002141CF">
        <w:rPr>
          <w:b/>
          <w:bCs/>
          <w:lang w:val="en-US"/>
        </w:rPr>
        <w:t xml:space="preserve">| RAFI Multi-Factor Index Series | </w:t>
      </w:r>
      <w:r w:rsidR="006553B6">
        <w:rPr>
          <w:b/>
          <w:bCs/>
          <w:lang w:val="en-US"/>
        </w:rPr>
        <w:t>December 2022</w:t>
      </w:r>
      <w:r w:rsidR="0026131F" w:rsidRPr="002141CF">
        <w:rPr>
          <w:lang w:val="en-US"/>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2141CF" w:rsidRDefault="003D0D25" w:rsidP="003D0D25">
      <w:pPr>
        <w:spacing w:after="0"/>
        <w:ind w:left="1416" w:firstLine="708"/>
        <w:rPr>
          <w:lang w:val="en-US"/>
        </w:rPr>
      </w:pPr>
      <w:r w:rsidRPr="002141CF">
        <w:rPr>
          <w:lang w:val="en-US"/>
        </w:rPr>
        <w:t>Germany</w:t>
      </w:r>
    </w:p>
    <w:p w14:paraId="752A804F" w14:textId="7A894BF5" w:rsidR="00753C1C" w:rsidRPr="002141CF"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2141CF"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211FC52-2748-4B6E-A129-11C09A14FCB5}"/>
  </w:font>
  <w:font w:name="Flama Semicondensed Light">
    <w:panose1 w:val="02000000000000000000"/>
    <w:charset w:val="00"/>
    <w:family w:val="auto"/>
    <w:pitch w:val="variable"/>
    <w:sig w:usb0="A00000AF" w:usb1="4000207B" w:usb2="00000000" w:usb3="00000000" w:csb0="0000008B" w:csb1="00000000"/>
    <w:embedRegular r:id="rId2" w:fontKey="{34685238-A148-4AAB-B751-FC98DE033AE7}"/>
    <w:embedBold r:id="rId3" w:fontKey="{853DF020-2F6B-4213-9BA3-212AD1B6010B}"/>
    <w:embedItalic r:id="rId4" w:fontKey="{62C31D37-A913-4344-8A88-7D04C29333A7}"/>
  </w:font>
  <w:font w:name="Segoe UI">
    <w:panose1 w:val="020B0502040204020203"/>
    <w:charset w:val="00"/>
    <w:family w:val="swiss"/>
    <w:pitch w:val="variable"/>
    <w:sig w:usb0="E4002EFF" w:usb1="C000E47F" w:usb2="00000009" w:usb3="00000000" w:csb0="000001FF" w:csb1="00000000"/>
    <w:embedRegular r:id="rId5" w:fontKey="{93BDD415-8C97-4518-A799-187119B1F801}"/>
  </w:font>
  <w:font w:name="Flama Semicondensed Medium">
    <w:panose1 w:val="02000000000000000000"/>
    <w:charset w:val="00"/>
    <w:family w:val="auto"/>
    <w:pitch w:val="variable"/>
    <w:sig w:usb0="A00000AF" w:usb1="4000207B" w:usb2="00000000" w:usb3="00000000" w:csb0="0000008B" w:csb1="00000000"/>
    <w:embedRegular r:id="rId6" w:fontKey="{359ED789-D40D-4336-9C4D-45F046A95839}"/>
    <w:embedBold r:id="rId7" w:fontKey="{DECD011B-75D2-4E6D-B448-E2DC28D3A5D2}"/>
  </w:font>
  <w:font w:name="Whitney Medium">
    <w:altName w:val="Arial"/>
    <w:panose1 w:val="00000000000000000000"/>
    <w:charset w:val="00"/>
    <w:family w:val="modern"/>
    <w:notTrueType/>
    <w:pitch w:val="variable"/>
    <w:sig w:usb0="A1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19261368-9150-4E02-B3A9-D0FC18CA1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33A7E47D"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C30F5C">
          <w:rPr>
            <w:lang w:val="en-US"/>
          </w:rPr>
          <w:t>Market Consultation | RAFI MULTI-FACTOR INDEX SERIES | Guideline change</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8674773">
    <w:abstractNumId w:val="5"/>
  </w:num>
  <w:num w:numId="2" w16cid:durableId="1456170730">
    <w:abstractNumId w:val="6"/>
  </w:num>
  <w:num w:numId="3" w16cid:durableId="1669559346">
    <w:abstractNumId w:val="15"/>
  </w:num>
  <w:num w:numId="4" w16cid:durableId="1073889614">
    <w:abstractNumId w:val="19"/>
  </w:num>
  <w:num w:numId="5" w16cid:durableId="1879317823">
    <w:abstractNumId w:val="14"/>
  </w:num>
  <w:num w:numId="6" w16cid:durableId="199557729">
    <w:abstractNumId w:val="7"/>
  </w:num>
  <w:num w:numId="7" w16cid:durableId="1666859352">
    <w:abstractNumId w:val="18"/>
  </w:num>
  <w:num w:numId="8" w16cid:durableId="1742825764">
    <w:abstractNumId w:val="3"/>
  </w:num>
  <w:num w:numId="9" w16cid:durableId="859857630">
    <w:abstractNumId w:val="12"/>
  </w:num>
  <w:num w:numId="10" w16cid:durableId="1318804391">
    <w:abstractNumId w:val="11"/>
  </w:num>
  <w:num w:numId="11" w16cid:durableId="1971126769">
    <w:abstractNumId w:val="2"/>
  </w:num>
  <w:num w:numId="12" w16cid:durableId="1374963652">
    <w:abstractNumId w:val="1"/>
  </w:num>
  <w:num w:numId="13" w16cid:durableId="645670036">
    <w:abstractNumId w:val="13"/>
  </w:num>
  <w:num w:numId="14" w16cid:durableId="927007157">
    <w:abstractNumId w:val="9"/>
  </w:num>
  <w:num w:numId="15" w16cid:durableId="520900667">
    <w:abstractNumId w:val="4"/>
  </w:num>
  <w:num w:numId="16" w16cid:durableId="1432163025">
    <w:abstractNumId w:val="10"/>
  </w:num>
  <w:num w:numId="17" w16cid:durableId="571307403">
    <w:abstractNumId w:val="20"/>
  </w:num>
  <w:num w:numId="18" w16cid:durableId="1187989900">
    <w:abstractNumId w:val="8"/>
  </w:num>
  <w:num w:numId="19" w16cid:durableId="815729963">
    <w:abstractNumId w:val="16"/>
  </w:num>
  <w:num w:numId="20" w16cid:durableId="568812473">
    <w:abstractNumId w:val="17"/>
  </w:num>
  <w:num w:numId="21" w16cid:durableId="2142381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6860"/>
    <w:rsid w:val="000658A8"/>
    <w:rsid w:val="00066898"/>
    <w:rsid w:val="00077C61"/>
    <w:rsid w:val="00080949"/>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0F458D"/>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B76F0"/>
    <w:rsid w:val="001C4A17"/>
    <w:rsid w:val="001C6BC7"/>
    <w:rsid w:val="001C7018"/>
    <w:rsid w:val="001D0ECC"/>
    <w:rsid w:val="001D6895"/>
    <w:rsid w:val="001E7A70"/>
    <w:rsid w:val="001F1AAE"/>
    <w:rsid w:val="001F7F10"/>
    <w:rsid w:val="002127D7"/>
    <w:rsid w:val="002141CF"/>
    <w:rsid w:val="0021530E"/>
    <w:rsid w:val="00216B32"/>
    <w:rsid w:val="00222801"/>
    <w:rsid w:val="00226816"/>
    <w:rsid w:val="00233B75"/>
    <w:rsid w:val="0023503C"/>
    <w:rsid w:val="002370C6"/>
    <w:rsid w:val="00252BDE"/>
    <w:rsid w:val="00252DAF"/>
    <w:rsid w:val="0026131F"/>
    <w:rsid w:val="0026500B"/>
    <w:rsid w:val="00265B34"/>
    <w:rsid w:val="002663E0"/>
    <w:rsid w:val="00277D7B"/>
    <w:rsid w:val="0028575D"/>
    <w:rsid w:val="00291586"/>
    <w:rsid w:val="0029232A"/>
    <w:rsid w:val="00292903"/>
    <w:rsid w:val="002A32BB"/>
    <w:rsid w:val="002B2473"/>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5192"/>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4E164D"/>
    <w:rsid w:val="00500D79"/>
    <w:rsid w:val="005055F5"/>
    <w:rsid w:val="00507DB2"/>
    <w:rsid w:val="00510A9D"/>
    <w:rsid w:val="00532F22"/>
    <w:rsid w:val="00534514"/>
    <w:rsid w:val="005457DD"/>
    <w:rsid w:val="005560A1"/>
    <w:rsid w:val="00560161"/>
    <w:rsid w:val="00572562"/>
    <w:rsid w:val="005818C8"/>
    <w:rsid w:val="00583C2C"/>
    <w:rsid w:val="00591607"/>
    <w:rsid w:val="00592EE3"/>
    <w:rsid w:val="005A0058"/>
    <w:rsid w:val="005A2BE7"/>
    <w:rsid w:val="005A6736"/>
    <w:rsid w:val="005B5236"/>
    <w:rsid w:val="005C08AA"/>
    <w:rsid w:val="005C210C"/>
    <w:rsid w:val="005C5410"/>
    <w:rsid w:val="005C6F73"/>
    <w:rsid w:val="005E2B50"/>
    <w:rsid w:val="005E61B4"/>
    <w:rsid w:val="006105C6"/>
    <w:rsid w:val="00621EE1"/>
    <w:rsid w:val="00626C9C"/>
    <w:rsid w:val="0063017D"/>
    <w:rsid w:val="00631951"/>
    <w:rsid w:val="00632135"/>
    <w:rsid w:val="0063592D"/>
    <w:rsid w:val="00647E2E"/>
    <w:rsid w:val="00650433"/>
    <w:rsid w:val="00651886"/>
    <w:rsid w:val="00651D91"/>
    <w:rsid w:val="006553B6"/>
    <w:rsid w:val="00656E53"/>
    <w:rsid w:val="0065775A"/>
    <w:rsid w:val="00687F0D"/>
    <w:rsid w:val="0069329B"/>
    <w:rsid w:val="00694010"/>
    <w:rsid w:val="006954CA"/>
    <w:rsid w:val="006A0793"/>
    <w:rsid w:val="006C091C"/>
    <w:rsid w:val="006C2A33"/>
    <w:rsid w:val="006C3E4C"/>
    <w:rsid w:val="006C5EE2"/>
    <w:rsid w:val="006D163F"/>
    <w:rsid w:val="006E0DEB"/>
    <w:rsid w:val="006E0FB3"/>
    <w:rsid w:val="006F11E8"/>
    <w:rsid w:val="006F1D5D"/>
    <w:rsid w:val="006F54CB"/>
    <w:rsid w:val="007063F4"/>
    <w:rsid w:val="007074DD"/>
    <w:rsid w:val="0073537F"/>
    <w:rsid w:val="007357DE"/>
    <w:rsid w:val="00736C70"/>
    <w:rsid w:val="007372FA"/>
    <w:rsid w:val="007458EC"/>
    <w:rsid w:val="00746268"/>
    <w:rsid w:val="00750A5D"/>
    <w:rsid w:val="00753112"/>
    <w:rsid w:val="00753C1C"/>
    <w:rsid w:val="00764694"/>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DB6"/>
    <w:rsid w:val="00803EE8"/>
    <w:rsid w:val="00810B5C"/>
    <w:rsid w:val="00823F62"/>
    <w:rsid w:val="0082544A"/>
    <w:rsid w:val="00826CDB"/>
    <w:rsid w:val="00830616"/>
    <w:rsid w:val="008345B7"/>
    <w:rsid w:val="008501D0"/>
    <w:rsid w:val="00851638"/>
    <w:rsid w:val="00852511"/>
    <w:rsid w:val="00862BCD"/>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3CC2"/>
    <w:rsid w:val="008F59D5"/>
    <w:rsid w:val="00906A38"/>
    <w:rsid w:val="009133CD"/>
    <w:rsid w:val="0092193A"/>
    <w:rsid w:val="009224D5"/>
    <w:rsid w:val="00927618"/>
    <w:rsid w:val="0093363F"/>
    <w:rsid w:val="009369D6"/>
    <w:rsid w:val="0094043A"/>
    <w:rsid w:val="00960D2A"/>
    <w:rsid w:val="00970C26"/>
    <w:rsid w:val="0097651D"/>
    <w:rsid w:val="009776B4"/>
    <w:rsid w:val="00983D90"/>
    <w:rsid w:val="0099430F"/>
    <w:rsid w:val="00995D4A"/>
    <w:rsid w:val="009974E3"/>
    <w:rsid w:val="009A1E21"/>
    <w:rsid w:val="009A2432"/>
    <w:rsid w:val="009A27F6"/>
    <w:rsid w:val="009A4F6D"/>
    <w:rsid w:val="009B45ED"/>
    <w:rsid w:val="009C5F0F"/>
    <w:rsid w:val="009C62E7"/>
    <w:rsid w:val="009D2EF7"/>
    <w:rsid w:val="009F51A9"/>
    <w:rsid w:val="00A2430F"/>
    <w:rsid w:val="00A255BA"/>
    <w:rsid w:val="00A273C4"/>
    <w:rsid w:val="00A3779F"/>
    <w:rsid w:val="00A41317"/>
    <w:rsid w:val="00A413D8"/>
    <w:rsid w:val="00A64163"/>
    <w:rsid w:val="00A65C78"/>
    <w:rsid w:val="00A74BB3"/>
    <w:rsid w:val="00A8219E"/>
    <w:rsid w:val="00A94468"/>
    <w:rsid w:val="00A97E61"/>
    <w:rsid w:val="00AB6B57"/>
    <w:rsid w:val="00AC0BF4"/>
    <w:rsid w:val="00AD0379"/>
    <w:rsid w:val="00AD1AED"/>
    <w:rsid w:val="00AF0FFD"/>
    <w:rsid w:val="00AF46AF"/>
    <w:rsid w:val="00B01B34"/>
    <w:rsid w:val="00B04ABF"/>
    <w:rsid w:val="00B1629F"/>
    <w:rsid w:val="00B210BC"/>
    <w:rsid w:val="00B302B4"/>
    <w:rsid w:val="00B4681A"/>
    <w:rsid w:val="00B5343D"/>
    <w:rsid w:val="00B61371"/>
    <w:rsid w:val="00B6689F"/>
    <w:rsid w:val="00B75EBC"/>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0F5C"/>
    <w:rsid w:val="00C32515"/>
    <w:rsid w:val="00C4722A"/>
    <w:rsid w:val="00C65F0E"/>
    <w:rsid w:val="00C676D8"/>
    <w:rsid w:val="00C750BC"/>
    <w:rsid w:val="00C77505"/>
    <w:rsid w:val="00C77B4F"/>
    <w:rsid w:val="00CA172F"/>
    <w:rsid w:val="00CA4471"/>
    <w:rsid w:val="00CA595E"/>
    <w:rsid w:val="00CA69A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1077"/>
    <w:rsid w:val="00DE21FE"/>
    <w:rsid w:val="00DE29BE"/>
    <w:rsid w:val="00DE3005"/>
    <w:rsid w:val="00DE7F6A"/>
    <w:rsid w:val="00DF1D65"/>
    <w:rsid w:val="00DF306F"/>
    <w:rsid w:val="00DF5526"/>
    <w:rsid w:val="00E01BAE"/>
    <w:rsid w:val="00E05994"/>
    <w:rsid w:val="00E06A59"/>
    <w:rsid w:val="00E072E6"/>
    <w:rsid w:val="00E22C03"/>
    <w:rsid w:val="00E35FA1"/>
    <w:rsid w:val="00E43678"/>
    <w:rsid w:val="00E45951"/>
    <w:rsid w:val="00E530BC"/>
    <w:rsid w:val="00E55AA7"/>
    <w:rsid w:val="00E738F4"/>
    <w:rsid w:val="00E75C53"/>
    <w:rsid w:val="00E8102A"/>
    <w:rsid w:val="00E85D18"/>
    <w:rsid w:val="00E87285"/>
    <w:rsid w:val="00E9274E"/>
    <w:rsid w:val="00EA23FA"/>
    <w:rsid w:val="00EA4B8A"/>
    <w:rsid w:val="00EB0715"/>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A7FF7"/>
    <w:rsid w:val="00FB1C0D"/>
    <w:rsid w:val="00FB5FF7"/>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A38"/>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292903"/>
    <w:pPr>
      <w:spacing w:after="0" w:line="240" w:lineRule="auto"/>
    </w:pPr>
    <w:rPr>
      <w:rFonts w:ascii="Flama Semicondensed Light" w:eastAsia="Times New Roman" w:hAnsi="Flama Semicondensed Light" w:cs="Times New Roman"/>
      <w:sz w:val="24"/>
      <w:szCs w:val="24"/>
      <w:lang w:eastAsia="de-DE"/>
    </w:rPr>
  </w:style>
  <w:style w:type="character" w:customStyle="1" w:styleId="WhitneyBodChar">
    <w:name w:val="Whitney Bod Char"/>
    <w:basedOn w:val="DefaultParagraphFont"/>
    <w:link w:val="WhitneyBod"/>
    <w:locked/>
    <w:rsid w:val="00CA69AE"/>
    <w:rPr>
      <w:rFonts w:ascii="Whitney Medium" w:eastAsia="Times New Roman" w:hAnsi="Whitney Medium" w:cs="Arial"/>
      <w:sz w:val="18"/>
      <w:szCs w:val="18"/>
      <w:lang w:val="en-GB" w:eastAsia="de-DE"/>
    </w:rPr>
  </w:style>
  <w:style w:type="paragraph" w:customStyle="1" w:styleId="WhitneyBod">
    <w:name w:val="Whitney Bod"/>
    <w:basedOn w:val="Normal"/>
    <w:link w:val="WhitneyBodChar"/>
    <w:qFormat/>
    <w:rsid w:val="00CA69AE"/>
    <w:pPr>
      <w:adjustRightInd w:val="0"/>
      <w:spacing w:before="0" w:after="240"/>
      <w:ind w:right="490"/>
    </w:pPr>
    <w:rPr>
      <w:rFonts w:ascii="Whitney Medium" w:hAnsi="Whitney Medium" w:cs="Arial"/>
      <w:sz w:val="18"/>
      <w:szCs w:val="18"/>
      <w:lang w:val="en-GB"/>
    </w:rPr>
  </w:style>
  <w:style w:type="character" w:customStyle="1" w:styleId="WhitneyTableChar">
    <w:name w:val="Whitney Table Char"/>
    <w:basedOn w:val="WhitneyBodChar"/>
    <w:link w:val="WhitneyTable"/>
    <w:locked/>
    <w:rsid w:val="00E01BAE"/>
    <w:rPr>
      <w:rFonts w:ascii="Whitney Medium" w:eastAsia="Times New Roman" w:hAnsi="Whitney Medium" w:cs="Arial"/>
      <w:sz w:val="18"/>
      <w:szCs w:val="18"/>
      <w:lang w:val="en-GB" w:eastAsia="de-DE"/>
    </w:rPr>
  </w:style>
  <w:style w:type="paragraph" w:customStyle="1" w:styleId="WhitneyTable">
    <w:name w:val="Whitney Table"/>
    <w:basedOn w:val="WhitneyBod"/>
    <w:link w:val="WhitneyTableChar"/>
    <w:qFormat/>
    <w:rsid w:val="00E01BAE"/>
    <w:pPr>
      <w:spacing w:after="0"/>
    </w:pPr>
  </w:style>
  <w:style w:type="table" w:styleId="TableGrid">
    <w:name w:val="Table Grid"/>
    <w:basedOn w:val="TableNormal"/>
    <w:rsid w:val="00E01BAE"/>
    <w:pPr>
      <w:spacing w:after="0" w:line="240" w:lineRule="auto"/>
    </w:pPr>
    <w:rPr>
      <w:rFonts w:ascii="Calibri" w:eastAsia="Calibri" w:hAnsi="Calibri"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6310">
      <w:bodyDiv w:val="1"/>
      <w:marLeft w:val="0"/>
      <w:marRight w:val="0"/>
      <w:marTop w:val="0"/>
      <w:marBottom w:val="0"/>
      <w:divBdr>
        <w:top w:val="none" w:sz="0" w:space="0" w:color="auto"/>
        <w:left w:val="none" w:sz="0" w:space="0" w:color="auto"/>
        <w:bottom w:val="none" w:sz="0" w:space="0" w:color="auto"/>
        <w:right w:val="none" w:sz="0" w:space="0" w:color="auto"/>
      </w:divBdr>
    </w:div>
    <w:div w:id="669521710">
      <w:bodyDiv w:val="1"/>
      <w:marLeft w:val="0"/>
      <w:marRight w:val="0"/>
      <w:marTop w:val="0"/>
      <w:marBottom w:val="0"/>
      <w:divBdr>
        <w:top w:val="none" w:sz="0" w:space="0" w:color="auto"/>
        <w:left w:val="none" w:sz="0" w:space="0" w:color="auto"/>
        <w:bottom w:val="none" w:sz="0" w:space="0" w:color="auto"/>
        <w:right w:val="none" w:sz="0" w:space="0" w:color="auto"/>
      </w:divBdr>
    </w:div>
    <w:div w:id="691762694">
      <w:bodyDiv w:val="1"/>
      <w:marLeft w:val="0"/>
      <w:marRight w:val="0"/>
      <w:marTop w:val="0"/>
      <w:marBottom w:val="0"/>
      <w:divBdr>
        <w:top w:val="none" w:sz="0" w:space="0" w:color="auto"/>
        <w:left w:val="none" w:sz="0" w:space="0" w:color="auto"/>
        <w:bottom w:val="none" w:sz="0" w:space="0" w:color="auto"/>
        <w:right w:val="none" w:sz="0" w:space="0" w:color="auto"/>
      </w:divBdr>
    </w:div>
    <w:div w:id="756367087">
      <w:bodyDiv w:val="1"/>
      <w:marLeft w:val="0"/>
      <w:marRight w:val="0"/>
      <w:marTop w:val="0"/>
      <w:marBottom w:val="0"/>
      <w:divBdr>
        <w:top w:val="none" w:sz="0" w:space="0" w:color="auto"/>
        <w:left w:val="none" w:sz="0" w:space="0" w:color="auto"/>
        <w:bottom w:val="none" w:sz="0" w:space="0" w:color="auto"/>
        <w:right w:val="none" w:sz="0" w:space="0" w:color="auto"/>
      </w:divBdr>
    </w:div>
    <w:div w:id="852647209">
      <w:bodyDiv w:val="1"/>
      <w:marLeft w:val="0"/>
      <w:marRight w:val="0"/>
      <w:marTop w:val="0"/>
      <w:marBottom w:val="0"/>
      <w:divBdr>
        <w:top w:val="none" w:sz="0" w:space="0" w:color="auto"/>
        <w:left w:val="none" w:sz="0" w:space="0" w:color="auto"/>
        <w:bottom w:val="none" w:sz="0" w:space="0" w:color="auto"/>
        <w:right w:val="none" w:sz="0" w:space="0" w:color="auto"/>
      </w:divBdr>
    </w:div>
    <w:div w:id="1251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rtal.svc.solactive.com/web/commons/indices/home/43675"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Whitney Medium">
    <w:altName w:val="Arial"/>
    <w:panose1 w:val="00000000000000000000"/>
    <w:charset w:val="00"/>
    <w:family w:val="modern"/>
    <w:notTrueType/>
    <w:pitch w:val="variable"/>
    <w:sig w:usb0="A1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1255</Words>
  <Characters>7160</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RAFI MULTI-FACTOR INDEX SERIES | Guideline change</vt:lpstr>
      <vt:lpstr>Index Calculation Guideline</vt:lpstr>
    </vt:vector>
  </TitlesOfParts>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RAFI MULTI-FACTOR INDEX SERIES | Guideline change</dc:title>
  <dc:subject>Calculation Documents &amp; Methodologies</dc:subject>
  <dc:creator>Solactive AG</dc:creator>
  <cp:keywords/>
  <dc:description/>
  <cp:lastModifiedBy>Thach, Khoa</cp:lastModifiedBy>
  <cp:revision>14</cp:revision>
  <cp:lastPrinted>2022-12-23T00:13:00Z</cp:lastPrinted>
  <dcterms:created xsi:type="dcterms:W3CDTF">2022-12-22T02:00:00Z</dcterms:created>
  <dcterms:modified xsi:type="dcterms:W3CDTF">2022-12-23T00:15:00Z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