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AF745"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8E8AAA9" w:rsidR="0092193A" w:rsidRPr="0097651D" w:rsidRDefault="006D04BA" w:rsidP="0092193A">
              <w:pPr>
                <w:pStyle w:val="Title"/>
                <w:rPr>
                  <w:lang w:val="en-US"/>
                </w:rPr>
              </w:pPr>
              <w:r w:rsidRPr="00D76406">
                <w:rPr>
                  <w:color w:val="FFFFFF" w:themeColor="background1"/>
                  <w:lang w:val="en-US"/>
                </w:rPr>
                <w:t xml:space="preserve">Market Consultation </w:t>
              </w:r>
              <w:r w:rsidR="000110D1">
                <w:rPr>
                  <w:color w:val="FFFFFF" w:themeColor="background1"/>
                  <w:lang w:val="en-US"/>
                </w:rPr>
                <w:t>Several Wilderhill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86AC"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186CD82" w:rsidR="00466905" w:rsidRPr="00D902A1" w:rsidRDefault="00C5176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0-06T00:00:00Z">
                                      <w:dateFormat w:val="dd MMMM yyyy"/>
                                      <w:lid w:val="en-GB"/>
                                      <w:storeMappedDataAs w:val="dateTime"/>
                                      <w:calendar w:val="gregorian"/>
                                    </w:date>
                                  </w:sdtPr>
                                  <w:sdtEndPr/>
                                  <w:sdtContent>
                                    <w:r w:rsidR="00212F75">
                                      <w:rPr>
                                        <w:color w:val="FFFFFF" w:themeColor="background1"/>
                                        <w:sz w:val="26"/>
                                        <w:szCs w:val="26"/>
                                        <w:lang w:val="en-GB"/>
                                      </w:rPr>
                                      <w:t>06 October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186CD82" w:rsidR="00466905" w:rsidRPr="00D902A1" w:rsidRDefault="00C5176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0-06T00:00:00Z">
                                <w:dateFormat w:val="dd MMMM yyyy"/>
                                <w:lid w:val="en-GB"/>
                                <w:storeMappedDataAs w:val="dateTime"/>
                                <w:calendar w:val="gregorian"/>
                              </w:date>
                            </w:sdtPr>
                            <w:sdtEndPr/>
                            <w:sdtContent>
                              <w:r w:rsidR="00212F75">
                                <w:rPr>
                                  <w:color w:val="FFFFFF" w:themeColor="background1"/>
                                  <w:sz w:val="26"/>
                                  <w:szCs w:val="26"/>
                                  <w:lang w:val="en-GB"/>
                                </w:rPr>
                                <w:t>06 October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C21B8B3"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E679F4">
        <w:rPr>
          <w:lang w:val="en-US"/>
        </w:rPr>
        <w:t>Indices</w:t>
      </w:r>
      <w:r w:rsidR="00E05994">
        <w:rPr>
          <w:lang w:val="en-US"/>
        </w:rPr>
        <w:t xml:space="preserve"> (the ‘</w:t>
      </w:r>
      <w:r w:rsidR="00E679F4" w:rsidRPr="002A6254">
        <w:rPr>
          <w:rFonts w:ascii="Flama Semicondensed Medium" w:hAnsi="Flama Semicondensed Medium"/>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A2297C"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10D1ACF"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(EUR Net Total Return)</w:t>
            </w:r>
          </w:p>
          <w:p w14:paraId="4ECA6C89"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(EUR Total Return)</w:t>
            </w:r>
          </w:p>
          <w:p w14:paraId="46B2AED8"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(EUR)</w:t>
            </w:r>
          </w:p>
          <w:p w14:paraId="4FEA5D99"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(GBP Net Total Return)</w:t>
            </w:r>
          </w:p>
          <w:p w14:paraId="6D159B35"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(GBP Total Return)</w:t>
            </w:r>
          </w:p>
          <w:p w14:paraId="70F03E48"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(GBP)</w:t>
            </w:r>
          </w:p>
          <w:p w14:paraId="4B923E13"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(JPY Net Total Return)</w:t>
            </w:r>
          </w:p>
          <w:p w14:paraId="44644AB9"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(JPY Total Return)</w:t>
            </w:r>
          </w:p>
          <w:p w14:paraId="569383A8"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(JPY)</w:t>
            </w:r>
          </w:p>
          <w:p w14:paraId="742EA5CF"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(USD Net Total Return)</w:t>
            </w:r>
          </w:p>
          <w:p w14:paraId="3C9BF7FA" w14:textId="77777777" w:rsidR="006D04BA" w:rsidRPr="006D04BA"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(USD Total Return)</w:t>
            </w:r>
          </w:p>
          <w:p w14:paraId="1986C86E" w14:textId="4684FC60" w:rsidR="00E05994" w:rsidRPr="003A1DD5" w:rsidRDefault="006D04BA" w:rsidP="006D04BA">
            <w:pPr>
              <w:spacing w:line="256" w:lineRule="auto"/>
              <w:rPr>
                <w:rFonts w:eastAsia="Calibri"/>
                <w:color w:val="000000"/>
                <w:sz w:val="22"/>
                <w:szCs w:val="22"/>
                <w:lang w:val="en-US" w:eastAsia="en-US"/>
              </w:rPr>
            </w:pPr>
            <w:r w:rsidRPr="006D04BA">
              <w:rPr>
                <w:rFonts w:eastAsia="Calibri"/>
                <w:color w:val="000000"/>
                <w:sz w:val="22"/>
                <w:szCs w:val="22"/>
                <w:lang w:val="en-US" w:eastAsia="en-US"/>
              </w:rPr>
              <w:t>Wilderhill New Energy Global Innovation Index (USD)</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74EB5F0"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.NEXEUN</w:t>
            </w:r>
          </w:p>
          <w:p w14:paraId="11A68BD0"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.NEXEUT</w:t>
            </w:r>
          </w:p>
          <w:p w14:paraId="3D4E52F3"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.NEXEU</w:t>
            </w:r>
          </w:p>
          <w:p w14:paraId="00D10A73"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.NEXBPN</w:t>
            </w:r>
          </w:p>
          <w:p w14:paraId="6E8A8CE8"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.NEXBPT</w:t>
            </w:r>
          </w:p>
          <w:p w14:paraId="544C83C9"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.NEXBP</w:t>
            </w:r>
          </w:p>
          <w:p w14:paraId="1668A3CB"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.NEXJYN</w:t>
            </w:r>
          </w:p>
          <w:p w14:paraId="47605A31"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.NEXJYT</w:t>
            </w:r>
          </w:p>
          <w:p w14:paraId="5670F386"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.NEXJY</w:t>
            </w:r>
          </w:p>
          <w:p w14:paraId="463B40D5"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.NEXUSN</w:t>
            </w:r>
          </w:p>
          <w:p w14:paraId="6A330D75" w14:textId="77777777" w:rsidR="006D04BA"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.NEXUST</w:t>
            </w:r>
          </w:p>
          <w:p w14:paraId="62C3F688" w14:textId="439838CA" w:rsidR="00E05994" w:rsidRPr="00FD0520" w:rsidRDefault="006D04BA" w:rsidP="006D04BA">
            <w:pPr>
              <w:spacing w:line="256" w:lineRule="auto"/>
              <w:rPr>
                <w:rFonts w:eastAsia="Calibri"/>
                <w:color w:val="000000"/>
                <w:sz w:val="22"/>
                <w:szCs w:val="22"/>
                <w:lang w:val="en-GB" w:eastAsia="en-US"/>
              </w:rPr>
            </w:pPr>
            <w:r w:rsidRPr="00FD0520">
              <w:rPr>
                <w:rFonts w:eastAsia="Calibri"/>
                <w:color w:val="000000"/>
                <w:sz w:val="22"/>
                <w:szCs w:val="22"/>
                <w:lang w:val="en-GB" w:eastAsia="en-US"/>
              </w:rPr>
              <w:t>.NEX</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0773503"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DE000SLA47D9</w:t>
            </w:r>
          </w:p>
          <w:p w14:paraId="58399439"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DE000SLA4692</w:t>
            </w:r>
          </w:p>
          <w:p w14:paraId="33F82A45"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DE000SLA4650</w:t>
            </w:r>
          </w:p>
          <w:p w14:paraId="527A718E"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DE000SLA47E7</w:t>
            </w:r>
          </w:p>
          <w:p w14:paraId="3E634248"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DE000SLA47A5</w:t>
            </w:r>
          </w:p>
          <w:p w14:paraId="00F29B01"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DE000SLA4668</w:t>
            </w:r>
          </w:p>
          <w:p w14:paraId="7631167B"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DE000SLA47F4</w:t>
            </w:r>
          </w:p>
          <w:p w14:paraId="54385176"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DE000SLA47B3</w:t>
            </w:r>
          </w:p>
          <w:p w14:paraId="0F9A0D16"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DE000SLA4676</w:t>
            </w:r>
          </w:p>
          <w:p w14:paraId="23F4CA14"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DE000SLA47C1</w:t>
            </w:r>
          </w:p>
          <w:p w14:paraId="00F926E1" w14:textId="77777777" w:rsidR="006D04BA"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DE000SLA4684</w:t>
            </w:r>
          </w:p>
          <w:p w14:paraId="12D59FB1" w14:textId="71552F65" w:rsidR="00E05994" w:rsidRPr="00FD0520" w:rsidRDefault="006D04BA" w:rsidP="006D04BA">
            <w:pPr>
              <w:spacing w:line="256" w:lineRule="auto"/>
              <w:rPr>
                <w:rFonts w:eastAsia="Calibri"/>
                <w:color w:val="000000"/>
                <w:sz w:val="22"/>
                <w:szCs w:val="22"/>
                <w:lang w:val="es-ES" w:eastAsia="en-US"/>
              </w:rPr>
            </w:pPr>
            <w:r w:rsidRPr="00FD0520">
              <w:rPr>
                <w:rFonts w:eastAsia="Calibri"/>
                <w:color w:val="000000"/>
                <w:sz w:val="22"/>
                <w:szCs w:val="22"/>
                <w:lang w:val="es-ES" w:eastAsia="en-US"/>
              </w:rPr>
              <w:t>US96811Y1029</w:t>
            </w:r>
          </w:p>
        </w:tc>
      </w:tr>
    </w:tbl>
    <w:p w14:paraId="590E3787" w14:textId="77777777" w:rsidR="00E05994" w:rsidRPr="00FD0520" w:rsidRDefault="00E05994" w:rsidP="00E05994">
      <w:pPr>
        <w:spacing w:before="0" w:after="160" w:line="259" w:lineRule="auto"/>
        <w:rPr>
          <w:lang w:val="es-ES"/>
        </w:rPr>
      </w:pPr>
    </w:p>
    <w:p w14:paraId="012DE387" w14:textId="479E8820" w:rsidR="00783C68" w:rsidRPr="0026131F" w:rsidRDefault="00E05994" w:rsidP="00995D4A">
      <w:pPr>
        <w:spacing w:before="0" w:after="160" w:line="259" w:lineRule="auto"/>
        <w:jc w:val="left"/>
        <w:rPr>
          <w:sz w:val="28"/>
          <w:szCs w:val="28"/>
          <w:lang w:val="en-GB"/>
        </w:rPr>
      </w:pPr>
      <w:r w:rsidRPr="00FD0520">
        <w:rPr>
          <w:lang w:val="es-ES"/>
        </w:rPr>
        <w:t xml:space="preserve"> </w:t>
      </w:r>
      <w:r w:rsidR="00783C68" w:rsidRPr="0026131F">
        <w:rPr>
          <w:b/>
          <w:bCs/>
          <w:sz w:val="28"/>
          <w:szCs w:val="28"/>
          <w:u w:val="single"/>
          <w:lang w:val="en-GB"/>
        </w:rPr>
        <w:t xml:space="preserve">Rationale for </w:t>
      </w:r>
      <w:r w:rsidR="0073537F" w:rsidRPr="00FD0520">
        <w:rPr>
          <w:b/>
          <w:bCs/>
          <w:sz w:val="28"/>
          <w:szCs w:val="28"/>
          <w:u w:val="single"/>
          <w:lang w:val="en-US"/>
        </w:rPr>
        <w:t xml:space="preserve">the </w:t>
      </w:r>
      <w:r w:rsidR="004D6535" w:rsidRPr="0026131F">
        <w:rPr>
          <w:b/>
          <w:bCs/>
          <w:sz w:val="28"/>
          <w:szCs w:val="28"/>
          <w:u w:val="single"/>
          <w:lang w:val="en-GB"/>
        </w:rPr>
        <w:t>Market Consultation</w:t>
      </w:r>
    </w:p>
    <w:p w14:paraId="02F6BE5B" w14:textId="77777777" w:rsidR="004A1D02" w:rsidRPr="004A1D02" w:rsidRDefault="00783C68" w:rsidP="004A1D02">
      <w:pPr>
        <w:spacing w:before="0" w:after="160" w:line="259" w:lineRule="auto"/>
        <w:jc w:val="left"/>
        <w:rPr>
          <w:lang w:val="en-GB"/>
        </w:rPr>
      </w:pPr>
      <w:r>
        <w:rPr>
          <w:lang w:val="en-GB"/>
        </w:rPr>
        <w:t xml:space="preserve"> </w:t>
      </w:r>
    </w:p>
    <w:p w14:paraId="71C71C4F" w14:textId="10F2AD1D" w:rsidR="004A1D02" w:rsidRPr="004A1D02" w:rsidRDefault="00035808" w:rsidP="002A6254">
      <w:pPr>
        <w:spacing w:before="0" w:after="160" w:line="259" w:lineRule="auto"/>
        <w:rPr>
          <w:lang w:val="en-GB"/>
        </w:rPr>
      </w:pPr>
      <w:r>
        <w:rPr>
          <w:lang w:val="en-GB"/>
        </w:rPr>
        <w:t xml:space="preserve">As </w:t>
      </w:r>
      <w:r w:rsidR="004A1D02" w:rsidRPr="004A1D02">
        <w:rPr>
          <w:lang w:val="en-GB"/>
        </w:rPr>
        <w:t>China’s role in energy transition is becoming more important with numerous mainland</w:t>
      </w:r>
      <w:r w:rsidR="00FD0520">
        <w:rPr>
          <w:lang w:val="en-GB"/>
        </w:rPr>
        <w:t xml:space="preserve"> China</w:t>
      </w:r>
      <w:r w:rsidR="004A1D02" w:rsidRPr="004A1D02">
        <w:rPr>
          <w:lang w:val="en-GB"/>
        </w:rPr>
        <w:t xml:space="preserve"> listed companies being highly active in the clean energy space. It is imperative that a global clean energy thematic index include China </w:t>
      </w:r>
      <w:r>
        <w:rPr>
          <w:lang w:val="en-GB"/>
        </w:rPr>
        <w:t xml:space="preserve">A shares </w:t>
      </w:r>
      <w:r w:rsidR="004A1D02" w:rsidRPr="004A1D02">
        <w:rPr>
          <w:lang w:val="en-GB"/>
        </w:rPr>
        <w:t>to provide investors exposure to this segment.</w:t>
      </w:r>
      <w:r w:rsidR="00F10ED1">
        <w:rPr>
          <w:lang w:val="en-GB"/>
        </w:rPr>
        <w:t xml:space="preserve"> Accordingly, it is proposed to expand the index universe requirements to include mainland China listed securities.</w:t>
      </w:r>
    </w:p>
    <w:p w14:paraId="7E960778" w14:textId="3456B056" w:rsidR="004A1D02" w:rsidRPr="004A1D02" w:rsidRDefault="00FD0520" w:rsidP="002A6254">
      <w:pPr>
        <w:spacing w:before="0" w:after="160" w:line="259" w:lineRule="auto"/>
        <w:rPr>
          <w:lang w:val="en-GB"/>
        </w:rPr>
      </w:pPr>
      <w:r>
        <w:rPr>
          <w:lang w:val="en-GB"/>
        </w:rPr>
        <w:t>In connection with the maintenance of the Indices, Solactive observed potential liquidity issues around calendar quarter end, and especially around 31</w:t>
      </w:r>
      <w:r w:rsidRPr="002A6254">
        <w:rPr>
          <w:vertAlign w:val="superscript"/>
          <w:lang w:val="en-GB"/>
        </w:rPr>
        <w:t>st</w:t>
      </w:r>
      <w:r>
        <w:rPr>
          <w:lang w:val="en-GB"/>
        </w:rPr>
        <w:t xml:space="preserve"> December, when the Indices currently rebalance. To address this issue </w:t>
      </w:r>
      <w:r w:rsidRPr="004A1D02">
        <w:rPr>
          <w:lang w:val="en-GB"/>
        </w:rPr>
        <w:t>and reduce complexity overall</w:t>
      </w:r>
      <w:r>
        <w:rPr>
          <w:lang w:val="en-GB"/>
        </w:rPr>
        <w:t xml:space="preserve"> a change in</w:t>
      </w:r>
      <w:r w:rsidR="00035808">
        <w:rPr>
          <w:lang w:val="en-GB"/>
        </w:rPr>
        <w:t xml:space="preserve"> the rebalancing scheme to February, May, August, and November </w:t>
      </w:r>
      <w:r>
        <w:rPr>
          <w:lang w:val="en-GB"/>
        </w:rPr>
        <w:t>is proposed</w:t>
      </w:r>
      <w:r w:rsidR="004A1D02" w:rsidRPr="004A1D02">
        <w:rPr>
          <w:lang w:val="en-GB"/>
        </w:rPr>
        <w:t>.</w:t>
      </w:r>
    </w:p>
    <w:p w14:paraId="5CA981B3" w14:textId="141033CB" w:rsidR="004A1D02" w:rsidRPr="004A1D02" w:rsidRDefault="00FD0520" w:rsidP="002A6254">
      <w:pPr>
        <w:spacing w:before="0" w:after="160" w:line="259" w:lineRule="auto"/>
        <w:rPr>
          <w:lang w:val="en-GB"/>
        </w:rPr>
      </w:pPr>
      <w:r>
        <w:rPr>
          <w:lang w:val="en-GB"/>
        </w:rPr>
        <w:t>The objective of the Indices opens the possibility for index users to consider an Article 9 classification under the EU Sustainable Financial Disclosure Regulation (‘SFDR’)</w:t>
      </w:r>
      <w:r w:rsidR="00E93A88">
        <w:rPr>
          <w:lang w:val="en-GB"/>
        </w:rPr>
        <w:t xml:space="preserve"> for financial instruments referencing the Indices or using them as benchmarks</w:t>
      </w:r>
      <w:r>
        <w:rPr>
          <w:lang w:val="en-GB"/>
        </w:rPr>
        <w:t>. To address recent developments</w:t>
      </w:r>
      <w:r w:rsidR="00E93A88">
        <w:rPr>
          <w:lang w:val="en-GB"/>
        </w:rPr>
        <w:t>,</w:t>
      </w:r>
      <w:r>
        <w:rPr>
          <w:lang w:val="en-GB"/>
        </w:rPr>
        <w:t xml:space="preserve"> improved clarity on the requirements as well as market development regarding the framework for Article 9 classification under </w:t>
      </w:r>
      <w:r>
        <w:rPr>
          <w:lang w:val="en-GB"/>
        </w:rPr>
        <w:lastRenderedPageBreak/>
        <w:t xml:space="preserve">the SFDR and </w:t>
      </w:r>
      <w:r w:rsidR="004A1D02" w:rsidRPr="004A1D02">
        <w:rPr>
          <w:lang w:val="en-GB"/>
        </w:rPr>
        <w:t>additional screening filter</w:t>
      </w:r>
      <w:r>
        <w:rPr>
          <w:lang w:val="en-GB"/>
        </w:rPr>
        <w:t xml:space="preserve"> is proposed. </w:t>
      </w:r>
      <w:r w:rsidR="00CD7284">
        <w:rPr>
          <w:lang w:val="en-GB"/>
        </w:rPr>
        <w:t>This filter aims at</w:t>
      </w:r>
      <w:r w:rsidR="004A1D02" w:rsidRPr="004A1D02">
        <w:rPr>
          <w:lang w:val="en-GB"/>
        </w:rPr>
        <w:t xml:space="preserve"> </w:t>
      </w:r>
      <w:r w:rsidR="00CD7284">
        <w:rPr>
          <w:lang w:val="en-GB"/>
        </w:rPr>
        <w:t>demonstrating compliance with mandatory principal adverse impacts (PAIs) exclusions</w:t>
      </w:r>
      <w:r w:rsidR="004A1D02" w:rsidRPr="004A1D02">
        <w:rPr>
          <w:lang w:val="en-GB"/>
        </w:rPr>
        <w:t xml:space="preserve">. By 2022-12-31, article 9 products must demonstrate </w:t>
      </w:r>
      <w:r w:rsidR="00E93A88">
        <w:rPr>
          <w:lang w:val="en-GB"/>
        </w:rPr>
        <w:t xml:space="preserve">that </w:t>
      </w:r>
      <w:r w:rsidR="00AF188B">
        <w:rPr>
          <w:lang w:val="en-GB"/>
        </w:rPr>
        <w:t>all PAIs</w:t>
      </w:r>
      <w:r w:rsidR="004A1D02" w:rsidRPr="004A1D02">
        <w:rPr>
          <w:lang w:val="en-GB"/>
        </w:rPr>
        <w:t xml:space="preserve"> </w:t>
      </w:r>
      <w:r w:rsidR="00CD7284">
        <w:rPr>
          <w:lang w:val="en-GB"/>
        </w:rPr>
        <w:t>are</w:t>
      </w:r>
      <w:r w:rsidR="004A1D02" w:rsidRPr="004A1D02">
        <w:rPr>
          <w:lang w:val="en-GB"/>
        </w:rPr>
        <w:t xml:space="preserve"> considered. The current methodology of the </w:t>
      </w:r>
      <w:r w:rsidR="00CD7284">
        <w:rPr>
          <w:lang w:val="en-GB"/>
        </w:rPr>
        <w:t xml:space="preserve">Indices </w:t>
      </w:r>
      <w:r w:rsidR="004A1D02" w:rsidRPr="004A1D02">
        <w:rPr>
          <w:lang w:val="en-GB"/>
        </w:rPr>
        <w:t>does not adequately consider two PAIs (board gender diversity and gender pay gap). The Sustainalytics ESG Risk Rating is incorporating considerations around these 2 PAIs, and thus this screening filter</w:t>
      </w:r>
      <w:r w:rsidR="00CD7284">
        <w:rPr>
          <w:lang w:val="en-GB"/>
        </w:rPr>
        <w:t xml:space="preserve"> is suggested to be added</w:t>
      </w:r>
      <w:r w:rsidR="004A1D02" w:rsidRPr="004A1D02">
        <w:rPr>
          <w:lang w:val="en-GB"/>
        </w:rPr>
        <w:t>.</w:t>
      </w:r>
    </w:p>
    <w:p w14:paraId="75E96E90" w14:textId="626999CA" w:rsidR="00233B75" w:rsidRDefault="00233B75" w:rsidP="002A6254">
      <w:pPr>
        <w:spacing w:before="0" w:after="160" w:line="259" w:lineRule="auto"/>
        <w:rPr>
          <w:lang w:val="en-GB"/>
        </w:rPr>
      </w:pPr>
    </w:p>
    <w:p w14:paraId="2BF4DE5A" w14:textId="77777777" w:rsidR="007E47D4" w:rsidRDefault="007E47D4" w:rsidP="00F568D6">
      <w:pPr>
        <w:spacing w:before="0" w:after="160" w:line="259" w:lineRule="auto"/>
        <w:jc w:val="left"/>
        <w:rPr>
          <w:u w:val="single"/>
          <w:lang w:val="en-GB"/>
        </w:rPr>
      </w:pPr>
    </w:p>
    <w:p w14:paraId="2A079CAD" w14:textId="45DA7E78"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035808" w:rsidRPr="002A6254">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117A74AA" w:rsidR="004A428F" w:rsidRDefault="004A428F" w:rsidP="0026131F">
      <w:pPr>
        <w:spacing w:before="0" w:after="160" w:line="259" w:lineRule="auto"/>
        <w:rPr>
          <w:lang w:val="en-GB"/>
        </w:rPr>
      </w:pPr>
      <w:r>
        <w:rPr>
          <w:lang w:val="en-GB"/>
        </w:rPr>
        <w:t>The following Methodology change</w:t>
      </w:r>
      <w:r w:rsidR="00963B87">
        <w:rPr>
          <w:lang w:val="en-GB"/>
        </w:rPr>
        <w:t>s</w:t>
      </w:r>
      <w:r>
        <w:rPr>
          <w:lang w:val="en-GB"/>
        </w:rPr>
        <w:t xml:space="preserve"> </w:t>
      </w:r>
      <w:r w:rsidR="00963B87" w:rsidRPr="00FD0520">
        <w:rPr>
          <w:lang w:val="en-US"/>
        </w:rPr>
        <w:t>are</w:t>
      </w:r>
      <w:r>
        <w:rPr>
          <w:lang w:val="en-GB"/>
        </w:rPr>
        <w:t xml:space="preserve"> proposed in the following poin</w:t>
      </w:r>
      <w:r w:rsidR="00963B87">
        <w:rPr>
          <w:lang w:val="en-GB"/>
        </w:rPr>
        <w:t>ts</w:t>
      </w:r>
      <w:r w:rsidR="00A64163" w:rsidRPr="0026131F" w:rsidDel="00C77B4F">
        <w:rPr>
          <w:lang w:val="en-GB"/>
        </w:rPr>
        <w:t xml:space="preserve"> </w:t>
      </w:r>
      <w:r w:rsidR="00C32515">
        <w:rPr>
          <w:lang w:val="en-GB"/>
        </w:rPr>
        <w:t>of the Index Guideline</w:t>
      </w:r>
      <w:r w:rsidR="00963B87">
        <w:rPr>
          <w:lang w:val="en-GB"/>
        </w:rPr>
        <w:t>:</w:t>
      </w:r>
    </w:p>
    <w:p w14:paraId="771BFD48" w14:textId="24300BEB" w:rsidR="00963B87" w:rsidRPr="00FD0520" w:rsidRDefault="00963B87" w:rsidP="00963B87">
      <w:pPr>
        <w:pStyle w:val="Heading2"/>
        <w:numPr>
          <w:ilvl w:val="1"/>
          <w:numId w:val="23"/>
        </w:numPr>
        <w:rPr>
          <w:color w:val="auto"/>
          <w:sz w:val="24"/>
          <w:szCs w:val="24"/>
          <w:lang w:val="en-US" w:eastAsia="en-US"/>
        </w:rPr>
      </w:pPr>
      <w:bookmarkStart w:id="1" w:name="_Toc16854278"/>
      <w:r w:rsidRPr="00FD0520">
        <w:rPr>
          <w:color w:val="auto"/>
          <w:sz w:val="24"/>
          <w:szCs w:val="24"/>
          <w:lang w:val="en-US" w:eastAsia="en-US"/>
        </w:rPr>
        <w:t>Index Universe Requirements</w:t>
      </w:r>
      <w:bookmarkEnd w:id="1"/>
    </w:p>
    <w:p w14:paraId="6C9FB63B" w14:textId="342E71A9" w:rsidR="00963B87" w:rsidRPr="00FD0520" w:rsidRDefault="00963B87" w:rsidP="00FD0520">
      <w:pPr>
        <w:spacing w:before="0" w:after="160" w:line="256" w:lineRule="auto"/>
        <w:rPr>
          <w:u w:val="single"/>
          <w:lang w:val="en-GB"/>
        </w:rPr>
      </w:pPr>
      <w:r w:rsidRPr="00FD0520">
        <w:rPr>
          <w:u w:val="single"/>
          <w:lang w:val="en-GB"/>
        </w:rPr>
        <w:t>From (old version):</w:t>
      </w:r>
    </w:p>
    <w:p w14:paraId="7EE52AFC" w14:textId="77777777" w:rsidR="00963B87" w:rsidRPr="00035808" w:rsidRDefault="00963B87" w:rsidP="00963B87">
      <w:pPr>
        <w:rPr>
          <w:lang w:val="en-US" w:eastAsia="en-US"/>
        </w:rPr>
      </w:pPr>
      <w:r w:rsidRPr="00035808">
        <w:rPr>
          <w:lang w:val="en-US" w:eastAsia="en-US"/>
        </w:rPr>
        <w:t xml:space="preserve">The </w:t>
      </w:r>
      <w:r w:rsidRPr="00035808">
        <w:rPr>
          <w:smallCaps/>
          <w:lang w:val="en-US" w:eastAsia="en-US"/>
        </w:rPr>
        <w:t>Index Universe</w:t>
      </w:r>
      <w:r w:rsidRPr="00035808">
        <w:rPr>
          <w:lang w:val="en-US" w:eastAsia="en-US"/>
        </w:rPr>
        <w:t xml:space="preserve"> is comprised of all financial instruments which fulfill the below requirements </w:t>
      </w:r>
    </w:p>
    <w:p w14:paraId="38AF0646" w14:textId="77777777" w:rsidR="00963B87" w:rsidRPr="00035808" w:rsidRDefault="00963B87" w:rsidP="00963B87">
      <w:pPr>
        <w:jc w:val="left"/>
        <w:rPr>
          <w:lang w:val="en-US" w:eastAsia="en-US"/>
        </w:rPr>
      </w:pPr>
      <w:r w:rsidRPr="00035808" w:rsidDel="00B97904">
        <w:rPr>
          <w:lang w:val="en-US" w:eastAsia="en-US"/>
        </w:rPr>
        <w:t xml:space="preserve"> </w:t>
      </w:r>
      <w:r w:rsidRPr="00035808">
        <w:rPr>
          <w:lang w:val="en-US" w:eastAsia="en-US"/>
        </w:rPr>
        <w:t xml:space="preserve">(the </w:t>
      </w:r>
      <w:r w:rsidRPr="00035808">
        <w:rPr>
          <w:rFonts w:eastAsia="Calibri"/>
          <w:lang w:val="en-US" w:eastAsia="en-US"/>
        </w:rPr>
        <w:t>“</w:t>
      </w:r>
      <w:r w:rsidRPr="00FD0520">
        <w:rPr>
          <w:smallCaps/>
          <w:lang w:val="en-US" w:eastAsia="en-US"/>
        </w:rPr>
        <w:t>Index Universe Requirements</w:t>
      </w:r>
      <w:r w:rsidRPr="00035808">
        <w:rPr>
          <w:rFonts w:eastAsia="Calibri"/>
          <w:lang w:val="en-US" w:eastAsia="en-US"/>
        </w:rPr>
        <w:t>“</w:t>
      </w:r>
      <w:r w:rsidRPr="00035808">
        <w:rPr>
          <w:lang w:val="en-US" w:eastAsia="en-US"/>
        </w:rPr>
        <w:t>):</w:t>
      </w:r>
    </w:p>
    <w:p w14:paraId="2D9087AB" w14:textId="77777777" w:rsidR="00963B87" w:rsidRPr="00FD0520" w:rsidRDefault="00963B87" w:rsidP="00963B87">
      <w:pPr>
        <w:jc w:val="left"/>
        <w:rPr>
          <w:lang w:val="en-US" w:eastAsia="en-US"/>
        </w:rPr>
      </w:pPr>
      <w:r w:rsidRPr="00035808">
        <w:rPr>
          <w:lang w:val="en-US" w:eastAsia="en-US"/>
        </w:rPr>
        <w:t>To be eligible for potential Index inclusion, each financial instrument must have</w:t>
      </w:r>
      <w:r w:rsidRPr="00FD0520">
        <w:rPr>
          <w:lang w:val="en-US" w:eastAsia="en-US"/>
        </w:rPr>
        <w:t>:</w:t>
      </w:r>
    </w:p>
    <w:p w14:paraId="1CB1759A" w14:textId="77777777" w:rsidR="00963B87" w:rsidRPr="00035808" w:rsidRDefault="00963B87" w:rsidP="00963B87">
      <w:pPr>
        <w:pStyle w:val="ListParagraph"/>
        <w:numPr>
          <w:ilvl w:val="0"/>
          <w:numId w:val="24"/>
        </w:numPr>
        <w:jc w:val="left"/>
        <w:rPr>
          <w:lang w:val="en-US" w:eastAsia="en-US"/>
        </w:rPr>
      </w:pPr>
      <w:r w:rsidRPr="00035808">
        <w:rPr>
          <w:lang w:val="en-US" w:eastAsia="en-US"/>
        </w:rPr>
        <w:t xml:space="preserve"> a primary listing in one of the countries that are part of the Developed Markets as defined by the Solactive Country Classification (see </w:t>
      </w:r>
      <w:hyperlink r:id="rId14" w:history="1">
        <w:r w:rsidRPr="00FD0520">
          <w:rPr>
            <w:rStyle w:val="Hyperlink"/>
            <w:color w:val="auto"/>
            <w:lang w:val="en-US" w:eastAsia="en-US"/>
          </w:rPr>
          <w:t>https://www.solactive.com/documents/</w:t>
        </w:r>
      </w:hyperlink>
      <w:r w:rsidRPr="00035808">
        <w:rPr>
          <w:lang w:val="en-US" w:eastAsia="en-US"/>
        </w:rPr>
        <w:t xml:space="preserve"> ), plus South Korea and Taiwan.</w:t>
      </w:r>
    </w:p>
    <w:p w14:paraId="5EF95D8D" w14:textId="7CC3AAD0" w:rsidR="00963B87" w:rsidRPr="00035808" w:rsidRDefault="00963B87" w:rsidP="00963B87">
      <w:pPr>
        <w:rPr>
          <w:lang w:val="en-US" w:eastAsia="en-US"/>
        </w:rPr>
      </w:pPr>
      <w:r w:rsidRPr="00035808">
        <w:rPr>
          <w:lang w:val="en-US" w:eastAsia="en-US"/>
        </w:rPr>
        <w:t xml:space="preserve">The determination of the </w:t>
      </w:r>
      <w:r w:rsidRPr="00035808">
        <w:rPr>
          <w:smallCaps/>
          <w:lang w:val="en-US" w:eastAsia="en-US"/>
        </w:rPr>
        <w:t>Index Universe</w:t>
      </w:r>
      <w:r w:rsidRPr="00035808">
        <w:rPr>
          <w:lang w:val="en-US" w:eastAsia="en-US"/>
        </w:rPr>
        <w:t xml:space="preserve"> is fully rule-based and the </w:t>
      </w:r>
      <w:r w:rsidRPr="00035808">
        <w:rPr>
          <w:smallCaps/>
          <w:lang w:val="en-US" w:eastAsia="en-US"/>
        </w:rPr>
        <w:t>Selection Party</w:t>
      </w:r>
      <w:r w:rsidRPr="00035808">
        <w:rPr>
          <w:lang w:val="en-US" w:eastAsia="en-US"/>
        </w:rPr>
        <w:t xml:space="preserve"> cannot make any discretionary decisions.</w:t>
      </w:r>
    </w:p>
    <w:p w14:paraId="797CDFAD" w14:textId="77777777" w:rsidR="00963B87" w:rsidRPr="00035808" w:rsidRDefault="00963B87" w:rsidP="00963B87">
      <w:pPr>
        <w:rPr>
          <w:lang w:val="en-US" w:eastAsia="en-US"/>
        </w:rPr>
      </w:pPr>
    </w:p>
    <w:p w14:paraId="41DD749D" w14:textId="77777777" w:rsidR="00963B87" w:rsidRPr="00035808" w:rsidRDefault="00963B87" w:rsidP="00963B87">
      <w:pPr>
        <w:spacing w:before="0" w:after="160" w:line="256" w:lineRule="auto"/>
        <w:rPr>
          <w:u w:val="single"/>
          <w:lang w:val="en-US"/>
        </w:rPr>
      </w:pPr>
      <w:r w:rsidRPr="00035808">
        <w:rPr>
          <w:u w:val="single"/>
          <w:lang w:val="en-US"/>
        </w:rPr>
        <w:t>To (new version):</w:t>
      </w:r>
    </w:p>
    <w:p w14:paraId="1298FC38" w14:textId="77777777" w:rsidR="00963B87" w:rsidRPr="00035808" w:rsidRDefault="00963B87" w:rsidP="00963B87">
      <w:pPr>
        <w:rPr>
          <w:lang w:val="en-US" w:eastAsia="en-US"/>
        </w:rPr>
      </w:pPr>
      <w:r w:rsidRPr="00035808">
        <w:rPr>
          <w:lang w:val="en-US" w:eastAsia="en-US"/>
        </w:rPr>
        <w:t xml:space="preserve">The </w:t>
      </w:r>
      <w:r w:rsidRPr="00035808">
        <w:rPr>
          <w:smallCaps/>
          <w:lang w:val="en-US" w:eastAsia="en-US"/>
        </w:rPr>
        <w:t>Index Universe</w:t>
      </w:r>
      <w:r w:rsidRPr="00035808">
        <w:rPr>
          <w:lang w:val="en-US" w:eastAsia="en-US"/>
        </w:rPr>
        <w:t xml:space="preserve"> is comprised of all financial instruments which fulfill the below requirements </w:t>
      </w:r>
    </w:p>
    <w:p w14:paraId="1210B62E" w14:textId="77777777" w:rsidR="00963B87" w:rsidRPr="00035808" w:rsidRDefault="00963B87" w:rsidP="00963B87">
      <w:pPr>
        <w:jc w:val="left"/>
        <w:rPr>
          <w:lang w:val="en-US" w:eastAsia="en-US"/>
        </w:rPr>
      </w:pPr>
      <w:r w:rsidRPr="00035808" w:rsidDel="00B97904">
        <w:rPr>
          <w:lang w:val="en-US" w:eastAsia="en-US"/>
        </w:rPr>
        <w:t xml:space="preserve"> </w:t>
      </w:r>
      <w:r w:rsidRPr="00035808">
        <w:rPr>
          <w:lang w:val="en-US" w:eastAsia="en-US"/>
        </w:rPr>
        <w:t xml:space="preserve">(the </w:t>
      </w:r>
      <w:r w:rsidRPr="00035808">
        <w:rPr>
          <w:rFonts w:eastAsia="Calibri"/>
          <w:lang w:val="en-US" w:eastAsia="en-US"/>
        </w:rPr>
        <w:t>“</w:t>
      </w:r>
      <w:r w:rsidRPr="00FD0520">
        <w:rPr>
          <w:smallCaps/>
          <w:lang w:val="en-US" w:eastAsia="en-US"/>
        </w:rPr>
        <w:t>Index Universe Requirements</w:t>
      </w:r>
      <w:r w:rsidRPr="00035808">
        <w:rPr>
          <w:rFonts w:eastAsia="Calibri"/>
          <w:lang w:val="en-US" w:eastAsia="en-US"/>
        </w:rPr>
        <w:t>“</w:t>
      </w:r>
      <w:r w:rsidRPr="00035808">
        <w:rPr>
          <w:lang w:val="en-US" w:eastAsia="en-US"/>
        </w:rPr>
        <w:t>):</w:t>
      </w:r>
    </w:p>
    <w:p w14:paraId="2629C147" w14:textId="77777777" w:rsidR="00963B87" w:rsidRPr="00FD0520" w:rsidRDefault="00963B87" w:rsidP="00963B87">
      <w:pPr>
        <w:jc w:val="left"/>
        <w:rPr>
          <w:lang w:val="en-US" w:eastAsia="en-US"/>
        </w:rPr>
      </w:pPr>
      <w:r w:rsidRPr="00035808">
        <w:rPr>
          <w:lang w:val="en-US" w:eastAsia="en-US"/>
        </w:rPr>
        <w:t>To be eligible for potential Index inclusion, each financial instrument must have</w:t>
      </w:r>
      <w:r w:rsidRPr="00FD0520">
        <w:rPr>
          <w:lang w:val="en-US" w:eastAsia="en-US"/>
        </w:rPr>
        <w:t>:</w:t>
      </w:r>
    </w:p>
    <w:p w14:paraId="2AE88DF9" w14:textId="77777777" w:rsidR="00963B87" w:rsidRPr="00035808" w:rsidRDefault="00963B87" w:rsidP="00963B87">
      <w:pPr>
        <w:pStyle w:val="ListParagraph"/>
        <w:numPr>
          <w:ilvl w:val="0"/>
          <w:numId w:val="25"/>
        </w:numPr>
        <w:jc w:val="left"/>
        <w:rPr>
          <w:lang w:val="en-US" w:eastAsia="en-US"/>
        </w:rPr>
      </w:pPr>
      <w:r w:rsidRPr="00035808">
        <w:rPr>
          <w:lang w:val="en-US" w:eastAsia="en-US"/>
        </w:rPr>
        <w:t xml:space="preserve"> a primary listing in one of the countries that are part of the Developed Markets as defined by the Solactive Country Classification (see </w:t>
      </w:r>
      <w:hyperlink r:id="rId15" w:history="1">
        <w:r w:rsidRPr="00FD0520">
          <w:rPr>
            <w:rStyle w:val="Hyperlink"/>
            <w:color w:val="auto"/>
            <w:lang w:val="en-US" w:eastAsia="en-US"/>
          </w:rPr>
          <w:t>https://www.solactive.com/documents/</w:t>
        </w:r>
      </w:hyperlink>
      <w:r w:rsidRPr="00035808">
        <w:rPr>
          <w:lang w:val="en-US" w:eastAsia="en-US"/>
        </w:rPr>
        <w:t xml:space="preserve"> ), plus South Korea and Taiwan and China. China A-shares are eligible for inclusion provided they are available through the Stock Connect program and the Selection Party has the relevant license in place with the exchange.</w:t>
      </w:r>
    </w:p>
    <w:p w14:paraId="369B4061" w14:textId="77777777" w:rsidR="00963B87" w:rsidRPr="00035808" w:rsidRDefault="00963B87" w:rsidP="00963B87">
      <w:pPr>
        <w:rPr>
          <w:lang w:val="en-US" w:eastAsia="en-US"/>
        </w:rPr>
      </w:pPr>
      <w:r w:rsidRPr="00035808">
        <w:rPr>
          <w:lang w:val="en-US" w:eastAsia="en-US"/>
        </w:rPr>
        <w:t xml:space="preserve">The determination of the </w:t>
      </w:r>
      <w:r w:rsidRPr="00035808">
        <w:rPr>
          <w:smallCaps/>
          <w:lang w:val="en-US" w:eastAsia="en-US"/>
        </w:rPr>
        <w:t>Index Universe</w:t>
      </w:r>
      <w:r w:rsidRPr="00035808">
        <w:rPr>
          <w:lang w:val="en-US" w:eastAsia="en-US"/>
        </w:rPr>
        <w:t xml:space="preserve"> is fully rule-based and the </w:t>
      </w:r>
      <w:r w:rsidRPr="00035808">
        <w:rPr>
          <w:smallCaps/>
          <w:lang w:val="en-US" w:eastAsia="en-US"/>
        </w:rPr>
        <w:t>Selection Party</w:t>
      </w:r>
      <w:r w:rsidRPr="00035808">
        <w:rPr>
          <w:lang w:val="en-US" w:eastAsia="en-US"/>
        </w:rPr>
        <w:t xml:space="preserve"> cannot make any discretionary decisions.</w:t>
      </w:r>
    </w:p>
    <w:p w14:paraId="62460592" w14:textId="39320EB0" w:rsidR="00963B87" w:rsidRPr="00035808" w:rsidRDefault="00963B87" w:rsidP="00963B87">
      <w:pPr>
        <w:rPr>
          <w:lang w:val="en-US" w:eastAsia="en-US"/>
        </w:rPr>
      </w:pPr>
    </w:p>
    <w:p w14:paraId="01364C85" w14:textId="70628C7E" w:rsidR="00963B87" w:rsidRPr="00FD0520" w:rsidRDefault="00963B87" w:rsidP="00FD0520">
      <w:pPr>
        <w:pStyle w:val="Heading2"/>
        <w:numPr>
          <w:ilvl w:val="1"/>
          <w:numId w:val="23"/>
        </w:numPr>
        <w:rPr>
          <w:color w:val="auto"/>
          <w:sz w:val="24"/>
          <w:szCs w:val="24"/>
          <w:lang w:val="en-US" w:eastAsia="en-US"/>
        </w:rPr>
      </w:pPr>
      <w:bookmarkStart w:id="2" w:name="_Toc16854279"/>
      <w:r w:rsidRPr="00FD0520">
        <w:rPr>
          <w:color w:val="auto"/>
          <w:sz w:val="24"/>
          <w:szCs w:val="24"/>
          <w:lang w:val="en-US" w:eastAsia="en-US"/>
        </w:rPr>
        <w:lastRenderedPageBreak/>
        <w:t>Selection of the Index Components</w:t>
      </w:r>
      <w:bookmarkEnd w:id="2"/>
    </w:p>
    <w:p w14:paraId="4B6694CF" w14:textId="77777777" w:rsidR="00963B87" w:rsidRPr="00FD0520" w:rsidRDefault="00963B87" w:rsidP="00FD0520">
      <w:pPr>
        <w:spacing w:before="0" w:after="160" w:line="256" w:lineRule="auto"/>
        <w:rPr>
          <w:u w:val="single"/>
          <w:lang w:val="en-GB"/>
        </w:rPr>
      </w:pPr>
      <w:r w:rsidRPr="00FD0520">
        <w:rPr>
          <w:u w:val="single"/>
          <w:lang w:val="en-GB"/>
        </w:rPr>
        <w:t>From (old version):</w:t>
      </w:r>
    </w:p>
    <w:p w14:paraId="11D33A27" w14:textId="77777777" w:rsidR="00963B87" w:rsidRPr="00035808" w:rsidRDefault="00963B87" w:rsidP="00963B87">
      <w:pPr>
        <w:rPr>
          <w:lang w:val="en-US"/>
        </w:rPr>
      </w:pPr>
      <w:r w:rsidRPr="00035808">
        <w:rPr>
          <w:lang w:val="en-US"/>
        </w:rPr>
        <w:t xml:space="preserve">The </w:t>
      </w:r>
      <w:r w:rsidRPr="00035808">
        <w:rPr>
          <w:smallCaps/>
          <w:lang w:val="en-US"/>
        </w:rPr>
        <w:t>Index Administrator</w:t>
      </w:r>
      <w:r w:rsidRPr="00035808">
        <w:rPr>
          <w:lang w:val="en-US"/>
        </w:rPr>
        <w:t xml:space="preserve"> has outsourced </w:t>
      </w:r>
      <w:r w:rsidRPr="00FD0520">
        <w:rPr>
          <w:lang w:val="en-US"/>
        </w:rPr>
        <w:t xml:space="preserve">part of </w:t>
      </w:r>
      <w:r w:rsidRPr="00035808">
        <w:rPr>
          <w:lang w:val="en-US"/>
        </w:rPr>
        <w:t xml:space="preserve">the selection of the </w:t>
      </w:r>
      <w:r w:rsidRPr="00035808">
        <w:rPr>
          <w:smallCaps/>
          <w:lang w:val="en-US"/>
        </w:rPr>
        <w:t>Index Components</w:t>
      </w:r>
      <w:r w:rsidRPr="00035808">
        <w:rPr>
          <w:lang w:val="en-US"/>
        </w:rPr>
        <w:t xml:space="preserve"> to the </w:t>
      </w:r>
      <w:r w:rsidRPr="00035808">
        <w:rPr>
          <w:smallCaps/>
          <w:lang w:val="en-US"/>
        </w:rPr>
        <w:t>Selection Party</w:t>
      </w:r>
      <w:r w:rsidRPr="00035808">
        <w:rPr>
          <w:lang w:val="en-US"/>
        </w:rPr>
        <w:t xml:space="preserve">. Such outsourcing has been made in accordance with the requirements of the </w:t>
      </w:r>
      <w:r w:rsidRPr="00035808">
        <w:rPr>
          <w:smallCaps/>
          <w:lang w:val="en-US"/>
        </w:rPr>
        <w:t>BMR</w:t>
      </w:r>
      <w:r w:rsidRPr="00035808">
        <w:rPr>
          <w:lang w:val="en-US"/>
        </w:rPr>
        <w:t xml:space="preserve"> (Article 10 </w:t>
      </w:r>
      <w:r w:rsidRPr="00035808">
        <w:rPr>
          <w:smallCaps/>
          <w:lang w:val="en-US"/>
        </w:rPr>
        <w:t>BMR</w:t>
      </w:r>
      <w:r w:rsidRPr="00035808">
        <w:rPr>
          <w:lang w:val="en-US"/>
        </w:rPr>
        <w:t xml:space="preserve">). </w:t>
      </w:r>
      <w:r w:rsidRPr="00035808">
        <w:rPr>
          <w:lang w:val="en-US" w:eastAsia="en-US"/>
        </w:rPr>
        <w:t xml:space="preserve">Any discretionary decision of the </w:t>
      </w:r>
      <w:r w:rsidRPr="00035808">
        <w:rPr>
          <w:smallCaps/>
          <w:lang w:val="en-US" w:eastAsia="en-US"/>
        </w:rPr>
        <w:t>Selection Party</w:t>
      </w:r>
      <w:r w:rsidRPr="00035808">
        <w:rPr>
          <w:lang w:val="en-US" w:eastAsia="en-US"/>
        </w:rPr>
        <w:t xml:space="preserve"> will be made in accordance with the specifications regarding the </w:t>
      </w:r>
      <w:r w:rsidRPr="00035808">
        <w:rPr>
          <w:lang w:val="en-US"/>
        </w:rPr>
        <w:t>exercise of discretion or expert judgement established by the Index Administrator.</w:t>
      </w:r>
    </w:p>
    <w:p w14:paraId="6F6AABE1" w14:textId="77777777" w:rsidR="00963B87" w:rsidRPr="00035808" w:rsidRDefault="00963B87" w:rsidP="00963B87">
      <w:pPr>
        <w:rPr>
          <w:lang w:val="en-US"/>
        </w:rPr>
      </w:pPr>
      <w:r w:rsidRPr="00035808">
        <w:rPr>
          <w:lang w:val="en-US"/>
        </w:rPr>
        <w:t>The companies selected after completion of the above steps will be evaluated on the criteria outlined below by the INDEX ADMINISTRATOR. The evaluation is based on data provided by the Data Provider:</w:t>
      </w:r>
    </w:p>
    <w:p w14:paraId="6A50BC0A" w14:textId="77777777" w:rsidR="00963B87" w:rsidRPr="00035808" w:rsidRDefault="00963B87" w:rsidP="00963B87">
      <w:pPr>
        <w:pStyle w:val="ListParagraph"/>
        <w:numPr>
          <w:ilvl w:val="0"/>
          <w:numId w:val="26"/>
        </w:numPr>
        <w:spacing w:before="0" w:after="160" w:line="252" w:lineRule="auto"/>
        <w:ind w:left="360"/>
        <w:contextualSpacing/>
        <w:jc w:val="left"/>
        <w:rPr>
          <w:lang w:val="en-US" w:eastAsia="en-US"/>
        </w:rPr>
      </w:pPr>
      <w:r w:rsidRPr="00035808">
        <w:rPr>
          <w:lang w:val="en-US" w:eastAsia="en-US"/>
        </w:rPr>
        <w:t xml:space="preserve">Exclude </w:t>
      </w:r>
      <w:bookmarkStart w:id="3" w:name="_Hlk95723852"/>
      <w:r w:rsidRPr="00035808">
        <w:rPr>
          <w:lang w:val="en-US" w:eastAsia="en-US"/>
        </w:rPr>
        <w:t xml:space="preserve">companies breaching the UNGC principles </w:t>
      </w:r>
      <w:bookmarkEnd w:id="3"/>
      <w:r w:rsidRPr="00035808">
        <w:rPr>
          <w:lang w:val="en-US" w:eastAsia="en-US"/>
        </w:rPr>
        <w:t xml:space="preserve">(non-compliant per Sustainalytics’ global standards screening research). </w:t>
      </w:r>
    </w:p>
    <w:p w14:paraId="364ABBA7" w14:textId="77777777" w:rsidR="00963B87" w:rsidRPr="00035808" w:rsidRDefault="00963B87" w:rsidP="00963B87">
      <w:pPr>
        <w:pStyle w:val="ListParagraph"/>
        <w:numPr>
          <w:ilvl w:val="0"/>
          <w:numId w:val="26"/>
        </w:numPr>
        <w:spacing w:before="0" w:after="160" w:line="252" w:lineRule="auto"/>
        <w:ind w:left="360"/>
        <w:contextualSpacing/>
        <w:jc w:val="left"/>
        <w:rPr>
          <w:lang w:val="en-US" w:eastAsia="en-US"/>
        </w:rPr>
      </w:pPr>
      <w:r w:rsidRPr="00035808">
        <w:rPr>
          <w:lang w:val="en-US" w:eastAsia="en-US"/>
        </w:rPr>
        <w:t xml:space="preserve">Exclude </w:t>
      </w:r>
      <w:bookmarkStart w:id="4" w:name="_Hlk95723864"/>
      <w:r w:rsidRPr="00035808">
        <w:rPr>
          <w:lang w:val="en-US" w:eastAsia="en-US"/>
        </w:rPr>
        <w:t xml:space="preserve">companies with Severe controversies </w:t>
      </w:r>
      <w:bookmarkEnd w:id="4"/>
      <w:r w:rsidRPr="00035808">
        <w:rPr>
          <w:lang w:val="en-US" w:eastAsia="en-US"/>
        </w:rPr>
        <w:t xml:space="preserve">(as per Sustainalytics’ controversy research) as well as companies with involvement in harmful business activities (as per Sustainalytics’ business involvement research). </w:t>
      </w:r>
    </w:p>
    <w:p w14:paraId="6C0DBE59" w14:textId="77777777" w:rsidR="00963B87" w:rsidRPr="00035808" w:rsidRDefault="00963B87" w:rsidP="00963B87">
      <w:pPr>
        <w:pStyle w:val="ListParagraph"/>
        <w:spacing w:before="0" w:after="160" w:line="252" w:lineRule="auto"/>
        <w:ind w:left="360"/>
        <w:contextualSpacing/>
        <w:jc w:val="left"/>
        <w:rPr>
          <w:lang w:val="en-US" w:eastAsia="en-US"/>
        </w:rPr>
      </w:pPr>
      <w:r w:rsidRPr="00035808">
        <w:rPr>
          <w:lang w:val="en-US" w:eastAsia="en-US"/>
        </w:rPr>
        <w:t>For more details on the actual fields as well as the thresholds applied for the exclusion, please refer to the table below:</w:t>
      </w:r>
    </w:p>
    <w:p w14:paraId="506A3B65" w14:textId="7CA66485" w:rsidR="00963B87" w:rsidRPr="00035808" w:rsidRDefault="00963B87" w:rsidP="00963B87">
      <w:pPr>
        <w:rPr>
          <w:lang w:val="en-US" w:eastAsia="en-US"/>
        </w:rPr>
      </w:pPr>
    </w:p>
    <w:p w14:paraId="18209A27" w14:textId="77777777" w:rsidR="00963B87" w:rsidRPr="00035808" w:rsidRDefault="00963B87" w:rsidP="00963B87">
      <w:pPr>
        <w:spacing w:before="0" w:after="160" w:line="256" w:lineRule="auto"/>
        <w:rPr>
          <w:u w:val="single"/>
          <w:lang w:val="en-US"/>
        </w:rPr>
      </w:pPr>
      <w:r w:rsidRPr="00035808">
        <w:rPr>
          <w:u w:val="single"/>
          <w:lang w:val="en-US"/>
        </w:rPr>
        <w:t>To (new version):</w:t>
      </w:r>
    </w:p>
    <w:p w14:paraId="1AF9C639" w14:textId="77777777" w:rsidR="00963B87" w:rsidRPr="00035808" w:rsidRDefault="00963B87" w:rsidP="00963B87">
      <w:pPr>
        <w:rPr>
          <w:lang w:val="en-US"/>
        </w:rPr>
      </w:pPr>
      <w:bookmarkStart w:id="5" w:name="_Hlk115883495"/>
      <w:r w:rsidRPr="00035808">
        <w:rPr>
          <w:lang w:val="en-US"/>
        </w:rPr>
        <w:t xml:space="preserve">The </w:t>
      </w:r>
      <w:r w:rsidRPr="00035808">
        <w:rPr>
          <w:smallCaps/>
          <w:lang w:val="en-US"/>
        </w:rPr>
        <w:t>Index Administrator</w:t>
      </w:r>
      <w:r w:rsidRPr="00035808">
        <w:rPr>
          <w:lang w:val="en-US"/>
        </w:rPr>
        <w:t xml:space="preserve"> has outsourced </w:t>
      </w:r>
      <w:r w:rsidRPr="00FD0520">
        <w:rPr>
          <w:lang w:val="en-US"/>
        </w:rPr>
        <w:t xml:space="preserve">part of </w:t>
      </w:r>
      <w:r w:rsidRPr="00035808">
        <w:rPr>
          <w:lang w:val="en-US"/>
        </w:rPr>
        <w:t xml:space="preserve">the selection of the </w:t>
      </w:r>
      <w:r w:rsidRPr="00035808">
        <w:rPr>
          <w:smallCaps/>
          <w:lang w:val="en-US"/>
        </w:rPr>
        <w:t>Index Components</w:t>
      </w:r>
      <w:r w:rsidRPr="00035808">
        <w:rPr>
          <w:lang w:val="en-US"/>
        </w:rPr>
        <w:t xml:space="preserve"> to the </w:t>
      </w:r>
      <w:r w:rsidRPr="00035808">
        <w:rPr>
          <w:smallCaps/>
          <w:lang w:val="en-US"/>
        </w:rPr>
        <w:t>Selection Party</w:t>
      </w:r>
      <w:r w:rsidRPr="00035808">
        <w:rPr>
          <w:lang w:val="en-US"/>
        </w:rPr>
        <w:t xml:space="preserve">. Such outsourcing has been made in accordance with the requirements of the </w:t>
      </w:r>
      <w:r w:rsidRPr="00035808">
        <w:rPr>
          <w:smallCaps/>
          <w:lang w:val="en-US"/>
        </w:rPr>
        <w:t>BMR</w:t>
      </w:r>
      <w:r w:rsidRPr="00035808">
        <w:rPr>
          <w:lang w:val="en-US"/>
        </w:rPr>
        <w:t xml:space="preserve"> (Article 10 </w:t>
      </w:r>
      <w:r w:rsidRPr="00035808">
        <w:rPr>
          <w:smallCaps/>
          <w:lang w:val="en-US"/>
        </w:rPr>
        <w:t>BMR</w:t>
      </w:r>
      <w:r w:rsidRPr="00035808">
        <w:rPr>
          <w:lang w:val="en-US"/>
        </w:rPr>
        <w:t xml:space="preserve">). </w:t>
      </w:r>
      <w:r w:rsidRPr="00035808">
        <w:rPr>
          <w:lang w:val="en-US" w:eastAsia="en-US"/>
        </w:rPr>
        <w:t xml:space="preserve">Any discretionary decision of the </w:t>
      </w:r>
      <w:r w:rsidRPr="00035808">
        <w:rPr>
          <w:smallCaps/>
          <w:lang w:val="en-US" w:eastAsia="en-US"/>
        </w:rPr>
        <w:t>Selection Party</w:t>
      </w:r>
      <w:r w:rsidRPr="00035808">
        <w:rPr>
          <w:lang w:val="en-US" w:eastAsia="en-US"/>
        </w:rPr>
        <w:t xml:space="preserve"> will be made in accordance with the specifications regarding the </w:t>
      </w:r>
      <w:r w:rsidRPr="00035808">
        <w:rPr>
          <w:lang w:val="en-US"/>
        </w:rPr>
        <w:t>exercise of discretion or expert judgement established by the Index Administrator.</w:t>
      </w:r>
    </w:p>
    <w:p w14:paraId="7B364787" w14:textId="77777777" w:rsidR="00963B87" w:rsidRPr="00035808" w:rsidRDefault="00963B87" w:rsidP="00963B87">
      <w:pPr>
        <w:rPr>
          <w:lang w:val="en-US"/>
        </w:rPr>
      </w:pPr>
      <w:r w:rsidRPr="00035808">
        <w:rPr>
          <w:lang w:val="en-US"/>
        </w:rPr>
        <w:t>The companies selected after completion of the above steps will be evaluated on the criteria outlined below by the INDEX ADMINISTRATOR. The evaluation is based on data provided by the Data Provider:</w:t>
      </w:r>
    </w:p>
    <w:p w14:paraId="6C63098A" w14:textId="77777777" w:rsidR="00963B87" w:rsidRPr="00035808" w:rsidRDefault="00963B87" w:rsidP="00963B87">
      <w:pPr>
        <w:pStyle w:val="ListParagraph"/>
        <w:numPr>
          <w:ilvl w:val="0"/>
          <w:numId w:val="26"/>
        </w:numPr>
        <w:spacing w:before="0" w:after="160" w:line="252" w:lineRule="auto"/>
        <w:ind w:left="360"/>
        <w:contextualSpacing/>
        <w:jc w:val="left"/>
        <w:rPr>
          <w:lang w:val="en-US" w:eastAsia="en-US"/>
        </w:rPr>
      </w:pPr>
      <w:r w:rsidRPr="00035808">
        <w:rPr>
          <w:lang w:val="en-US" w:eastAsia="en-US"/>
        </w:rPr>
        <w:t xml:space="preserve">Exclude companies breaching the UNGC principles (non-compliant per Sustainalytics’ global standards screening research). </w:t>
      </w:r>
    </w:p>
    <w:p w14:paraId="2E71EAF2" w14:textId="77777777" w:rsidR="00963B87" w:rsidRPr="00035808" w:rsidRDefault="00963B87" w:rsidP="00963B87">
      <w:pPr>
        <w:pStyle w:val="ListParagraph"/>
        <w:numPr>
          <w:ilvl w:val="0"/>
          <w:numId w:val="26"/>
        </w:numPr>
        <w:spacing w:before="0" w:after="160" w:line="252" w:lineRule="auto"/>
        <w:ind w:left="360"/>
        <w:contextualSpacing/>
        <w:jc w:val="left"/>
        <w:rPr>
          <w:lang w:val="en-US" w:eastAsia="en-US"/>
        </w:rPr>
      </w:pPr>
      <w:r w:rsidRPr="00035808">
        <w:rPr>
          <w:lang w:val="en-US" w:eastAsia="en-US"/>
        </w:rPr>
        <w:t xml:space="preserve">Exclude companies with Severe controversies (as per Sustainalytics’ controversy research) as well as companies with involvement in harmful business activities (as per Sustainalytics’ business involvement research). </w:t>
      </w:r>
    </w:p>
    <w:p w14:paraId="63B6FE88" w14:textId="77777777" w:rsidR="000110D1" w:rsidRPr="00035808" w:rsidRDefault="000110D1" w:rsidP="000110D1">
      <w:pPr>
        <w:pStyle w:val="ListParagraph"/>
        <w:numPr>
          <w:ilvl w:val="0"/>
          <w:numId w:val="26"/>
        </w:numPr>
        <w:spacing w:before="0" w:after="160" w:line="252" w:lineRule="auto"/>
        <w:ind w:left="360"/>
        <w:contextualSpacing/>
        <w:jc w:val="left"/>
        <w:rPr>
          <w:lang w:val="en-US" w:eastAsia="en-US"/>
        </w:rPr>
      </w:pPr>
      <w:bookmarkStart w:id="6" w:name="_Toc16854297"/>
      <w:bookmarkEnd w:id="5"/>
      <w:r w:rsidRPr="00035808">
        <w:rPr>
          <w:lang w:val="en-US" w:eastAsia="en-US"/>
        </w:rPr>
        <w:t>Exclude companies with Severe ESG Risk Rating provided by Sustainalytics and in accordance with their severe risk rating methodology.</w:t>
      </w:r>
    </w:p>
    <w:p w14:paraId="1BB06043" w14:textId="098B671E" w:rsidR="00963B87" w:rsidRPr="00FD0520" w:rsidRDefault="00963B87" w:rsidP="00963B87">
      <w:pPr>
        <w:pStyle w:val="Heading1"/>
        <w:rPr>
          <w:color w:val="auto"/>
          <w:sz w:val="24"/>
          <w:szCs w:val="24"/>
          <w:lang w:val="en-US"/>
        </w:rPr>
      </w:pPr>
      <w:r w:rsidRPr="00FD0520">
        <w:rPr>
          <w:color w:val="auto"/>
          <w:sz w:val="24"/>
          <w:szCs w:val="24"/>
          <w:lang w:val="en-US"/>
        </w:rPr>
        <w:t>6.     Definitions</w:t>
      </w:r>
      <w:bookmarkEnd w:id="6"/>
    </w:p>
    <w:p w14:paraId="431FA609" w14:textId="77777777" w:rsidR="00963B87" w:rsidRPr="00035808" w:rsidRDefault="00963B87" w:rsidP="00963B87">
      <w:pPr>
        <w:spacing w:before="0" w:after="160" w:line="256" w:lineRule="auto"/>
        <w:rPr>
          <w:u w:val="single"/>
          <w:lang w:val="en-GB"/>
        </w:rPr>
      </w:pPr>
      <w:r w:rsidRPr="00035808">
        <w:rPr>
          <w:u w:val="single"/>
          <w:lang w:val="en-GB"/>
        </w:rPr>
        <w:t>From (old version):</w:t>
      </w:r>
    </w:p>
    <w:p w14:paraId="63717C5D" w14:textId="77777777" w:rsidR="00963B87" w:rsidRPr="00FD0520" w:rsidRDefault="00963B87" w:rsidP="00963B87">
      <w:pPr>
        <w:rPr>
          <w:lang w:val="en-US"/>
        </w:rPr>
      </w:pPr>
      <w:r w:rsidRPr="00035808">
        <w:rPr>
          <w:lang w:val="en-US"/>
        </w:rPr>
        <w:t>“</w:t>
      </w:r>
      <w:r w:rsidRPr="00FD0520">
        <w:rPr>
          <w:smallCaps/>
          <w:lang w:val="en-US"/>
        </w:rPr>
        <w:t>Rebalance Day</w:t>
      </w:r>
      <w:r w:rsidRPr="00035808">
        <w:rPr>
          <w:lang w:val="en-US"/>
        </w:rPr>
        <w:t xml:space="preserve">” is the last </w:t>
      </w:r>
      <w:r w:rsidRPr="00035808">
        <w:rPr>
          <w:smallCaps/>
          <w:lang w:val="en-US"/>
        </w:rPr>
        <w:t>Calculation Day</w:t>
      </w:r>
      <w:r w:rsidRPr="00035808">
        <w:rPr>
          <w:lang w:val="en-US"/>
        </w:rPr>
        <w:t xml:space="preserve"> in March, June, September and December. If that day is not a </w:t>
      </w:r>
      <w:r w:rsidRPr="00035808">
        <w:rPr>
          <w:smallCaps/>
          <w:lang w:val="en-US"/>
        </w:rPr>
        <w:t>Trading Day</w:t>
      </w:r>
      <w:r w:rsidRPr="00035808">
        <w:rPr>
          <w:lang w:val="en-US"/>
        </w:rPr>
        <w:t xml:space="preserve"> the </w:t>
      </w:r>
      <w:r w:rsidRPr="00035808">
        <w:rPr>
          <w:smallCaps/>
          <w:lang w:val="en-US"/>
        </w:rPr>
        <w:t>Rebalance Day</w:t>
      </w:r>
      <w:r w:rsidRPr="00035808">
        <w:rPr>
          <w:lang w:val="en-US"/>
        </w:rPr>
        <w:t xml:space="preserve"> will be the immediately following </w:t>
      </w:r>
      <w:r w:rsidRPr="00035808">
        <w:rPr>
          <w:smallCaps/>
          <w:lang w:val="en-US"/>
        </w:rPr>
        <w:t>Trading Day</w:t>
      </w:r>
      <w:r w:rsidRPr="00035808">
        <w:rPr>
          <w:lang w:val="en-US"/>
        </w:rPr>
        <w:t>.</w:t>
      </w:r>
    </w:p>
    <w:p w14:paraId="13BCDB52" w14:textId="77777777" w:rsidR="00963B87" w:rsidRPr="00035808" w:rsidRDefault="00963B87" w:rsidP="00963B87">
      <w:pPr>
        <w:rPr>
          <w:lang w:val="en-US"/>
        </w:rPr>
      </w:pPr>
      <w:r w:rsidRPr="00035808">
        <w:rPr>
          <w:lang w:val="en-US"/>
        </w:rPr>
        <w:t>“</w:t>
      </w:r>
      <w:r w:rsidRPr="00FD0520">
        <w:rPr>
          <w:smallCaps/>
          <w:lang w:val="en-US"/>
        </w:rPr>
        <w:t>Selection Day</w:t>
      </w:r>
      <w:r w:rsidRPr="00035808">
        <w:rPr>
          <w:lang w:val="en-US"/>
        </w:rPr>
        <w:t xml:space="preserve">” is 11 </w:t>
      </w:r>
      <w:r w:rsidRPr="00035808">
        <w:rPr>
          <w:smallCaps/>
          <w:lang w:val="en-US"/>
        </w:rPr>
        <w:t>Calculation Days</w:t>
      </w:r>
      <w:r w:rsidRPr="00035808">
        <w:rPr>
          <w:lang w:val="en-US"/>
        </w:rPr>
        <w:t xml:space="preserve"> before the </w:t>
      </w:r>
      <w:r w:rsidRPr="00035808">
        <w:rPr>
          <w:smallCaps/>
          <w:lang w:val="en-US"/>
        </w:rPr>
        <w:t>Rebalance Day.</w:t>
      </w:r>
    </w:p>
    <w:p w14:paraId="4C0D5001" w14:textId="77777777" w:rsidR="00963B87" w:rsidRPr="00035808" w:rsidRDefault="00963B87" w:rsidP="00963B87">
      <w:pPr>
        <w:spacing w:before="0" w:after="160" w:line="256" w:lineRule="auto"/>
        <w:rPr>
          <w:u w:val="single"/>
          <w:lang w:val="en-US"/>
        </w:rPr>
      </w:pPr>
      <w:r w:rsidRPr="00035808">
        <w:rPr>
          <w:u w:val="single"/>
          <w:lang w:val="en-US"/>
        </w:rPr>
        <w:lastRenderedPageBreak/>
        <w:t>To (new version):</w:t>
      </w:r>
    </w:p>
    <w:p w14:paraId="5F4CD020" w14:textId="77777777" w:rsidR="00963B87" w:rsidRPr="00FD0520" w:rsidRDefault="00963B87" w:rsidP="00963B87">
      <w:pPr>
        <w:rPr>
          <w:lang w:val="en-US"/>
        </w:rPr>
      </w:pPr>
      <w:r w:rsidRPr="00035808">
        <w:rPr>
          <w:lang w:val="en-US"/>
        </w:rPr>
        <w:t>“</w:t>
      </w:r>
      <w:r w:rsidRPr="00FD0520">
        <w:rPr>
          <w:smallCaps/>
          <w:lang w:val="en-US"/>
        </w:rPr>
        <w:t>Rebalance Day</w:t>
      </w:r>
      <w:r w:rsidRPr="00035808">
        <w:rPr>
          <w:lang w:val="en-US"/>
        </w:rPr>
        <w:t xml:space="preserve">” is the last </w:t>
      </w:r>
      <w:r w:rsidRPr="00035808">
        <w:rPr>
          <w:smallCaps/>
          <w:lang w:val="en-US"/>
        </w:rPr>
        <w:t>Calculation Day</w:t>
      </w:r>
      <w:r w:rsidRPr="00035808">
        <w:rPr>
          <w:lang w:val="en-US"/>
        </w:rPr>
        <w:t xml:space="preserve"> in February, May, August, and November. If that day is not a </w:t>
      </w:r>
      <w:r w:rsidRPr="00035808">
        <w:rPr>
          <w:smallCaps/>
          <w:lang w:val="en-US"/>
        </w:rPr>
        <w:t>Trading Day</w:t>
      </w:r>
      <w:r w:rsidRPr="00035808">
        <w:rPr>
          <w:lang w:val="en-US"/>
        </w:rPr>
        <w:t xml:space="preserve"> the </w:t>
      </w:r>
      <w:r w:rsidRPr="00035808">
        <w:rPr>
          <w:smallCaps/>
          <w:lang w:val="en-US"/>
        </w:rPr>
        <w:t>Rebalance Day</w:t>
      </w:r>
      <w:r w:rsidRPr="00035808">
        <w:rPr>
          <w:lang w:val="en-US"/>
        </w:rPr>
        <w:t xml:space="preserve"> will be the immediately following </w:t>
      </w:r>
      <w:r w:rsidRPr="00035808">
        <w:rPr>
          <w:smallCaps/>
          <w:lang w:val="en-US"/>
        </w:rPr>
        <w:t>Trading Day</w:t>
      </w:r>
      <w:r w:rsidRPr="00035808">
        <w:rPr>
          <w:lang w:val="en-US"/>
        </w:rPr>
        <w:t>.</w:t>
      </w:r>
    </w:p>
    <w:p w14:paraId="20D950BD" w14:textId="77777777" w:rsidR="00963B87" w:rsidRPr="00035808" w:rsidRDefault="00963B87" w:rsidP="00963B87">
      <w:pPr>
        <w:rPr>
          <w:lang w:val="en-US"/>
        </w:rPr>
      </w:pPr>
      <w:r w:rsidRPr="00035808">
        <w:rPr>
          <w:lang w:val="en-US"/>
        </w:rPr>
        <w:t>“</w:t>
      </w:r>
      <w:r w:rsidRPr="00FD0520">
        <w:rPr>
          <w:smallCaps/>
          <w:lang w:val="en-US"/>
        </w:rPr>
        <w:t>Selection Day</w:t>
      </w:r>
      <w:r w:rsidRPr="00035808">
        <w:rPr>
          <w:lang w:val="en-US"/>
        </w:rPr>
        <w:t xml:space="preserve">” is 11 </w:t>
      </w:r>
      <w:r w:rsidRPr="00035808">
        <w:rPr>
          <w:smallCaps/>
          <w:lang w:val="en-US"/>
        </w:rPr>
        <w:t>Calculation Days</w:t>
      </w:r>
      <w:r w:rsidRPr="00035808">
        <w:rPr>
          <w:lang w:val="en-US"/>
        </w:rPr>
        <w:t xml:space="preserve"> before the scheduled </w:t>
      </w:r>
      <w:r w:rsidRPr="00035808">
        <w:rPr>
          <w:smallCaps/>
          <w:lang w:val="en-US"/>
        </w:rPr>
        <w:t xml:space="preserve">Rebalance Day, </w:t>
      </w:r>
      <w:r w:rsidRPr="00035808">
        <w:rPr>
          <w:lang w:val="en-US"/>
        </w:rPr>
        <w:t xml:space="preserve">disregarding any potential change of the </w:t>
      </w:r>
      <w:r w:rsidRPr="00035808">
        <w:rPr>
          <w:smallCaps/>
          <w:lang w:val="en-US"/>
        </w:rPr>
        <w:t>Rebalance Day.</w:t>
      </w:r>
    </w:p>
    <w:p w14:paraId="166B333C" w14:textId="77777777" w:rsidR="00963B87" w:rsidRPr="00963B87" w:rsidRDefault="00963B87" w:rsidP="00FD0520">
      <w:pPr>
        <w:rPr>
          <w:lang w:val="en-US" w:eastAsia="en-US"/>
        </w:rPr>
      </w:pPr>
    </w:p>
    <w:p w14:paraId="69567275" w14:textId="77777777" w:rsidR="00963B87" w:rsidRPr="00C04273" w:rsidRDefault="00963B87" w:rsidP="00C04273">
      <w:pPr>
        <w:spacing w:before="0" w:after="160" w:line="259" w:lineRule="auto"/>
        <w:rPr>
          <w:i/>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9EBE954"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63B87">
        <w:rPr>
          <w:lang w:val="en-US"/>
        </w:rPr>
        <w:t>aforementioned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A2297C"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54FB02D"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963B87">
        <w:rPr>
          <w:i/>
          <w:lang w:val="en-US"/>
        </w:rPr>
        <w:t>2022-10-</w:t>
      </w:r>
      <w:r w:rsidR="005A509E">
        <w:rPr>
          <w:i/>
          <w:lang w:val="en-US"/>
        </w:rPr>
        <w:t>25</w:t>
      </w:r>
    </w:p>
    <w:p w14:paraId="741A56A5" w14:textId="4C9FAF4A"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FD0520">
        <w:rPr>
          <w:lang w:val="en-US"/>
        </w:rPr>
        <w:t xml:space="preserve">above are intended to </w:t>
      </w:r>
      <w:r w:rsidRPr="00FE1081">
        <w:rPr>
          <w:lang w:val="en-US"/>
        </w:rPr>
        <w:t xml:space="preserve">become effective on </w:t>
      </w:r>
      <w:r w:rsidR="00963B87">
        <w:rPr>
          <w:i/>
          <w:lang w:val="en-US"/>
        </w:rPr>
        <w:t>2022-11-0</w:t>
      </w:r>
      <w:r w:rsidR="005A509E">
        <w:rPr>
          <w:i/>
          <w:lang w:val="en-US"/>
        </w:rPr>
        <w:t>8</w:t>
      </w:r>
    </w:p>
    <w:p w14:paraId="0D223365" w14:textId="77777777" w:rsidR="00651886" w:rsidRPr="00C04273" w:rsidRDefault="00651886" w:rsidP="005055F5">
      <w:pPr>
        <w:spacing w:before="0" w:after="0" w:line="360" w:lineRule="auto"/>
        <w:rPr>
          <w:lang w:val="en-US"/>
        </w:rPr>
      </w:pPr>
    </w:p>
    <w:p w14:paraId="04131284" w14:textId="646C9A9E"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6"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963B87">
        <w:rPr>
          <w:lang w:val="en-US"/>
        </w:rPr>
        <w:t>Several Wilderhill Indices</w:t>
      </w:r>
      <w:r w:rsidR="0026131F" w:rsidRPr="00FD0520">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FD0520" w:rsidRDefault="003D0D25" w:rsidP="003D0D25">
      <w:pPr>
        <w:spacing w:after="0"/>
        <w:ind w:left="1416" w:firstLine="708"/>
        <w:rPr>
          <w:lang w:val="en-US"/>
        </w:rPr>
      </w:pPr>
      <w:r w:rsidRPr="00FD0520">
        <w:rPr>
          <w:lang w:val="en-US"/>
        </w:rPr>
        <w:t>Germany</w:t>
      </w:r>
    </w:p>
    <w:p w14:paraId="752A804F" w14:textId="7A894BF5" w:rsidR="00753C1C" w:rsidRPr="00FD0520"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FD0520"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90056"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171AD49B"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sectPr w:rsidR="00572562" w:rsidRPr="00572562" w:rsidSect="001B2D6F">
      <w:headerReference w:type="default" r:id="rId17"/>
      <w:footerReference w:type="default" r:id="rId18"/>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98086" w14:textId="77777777" w:rsidR="002231C9" w:rsidRDefault="002231C9" w:rsidP="002E70FC">
      <w:pPr>
        <w:spacing w:before="0" w:after="0"/>
      </w:pPr>
      <w:r>
        <w:separator/>
      </w:r>
    </w:p>
  </w:endnote>
  <w:endnote w:type="continuationSeparator" w:id="0">
    <w:p w14:paraId="67CF91B8" w14:textId="77777777" w:rsidR="002231C9" w:rsidRDefault="002231C9"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C82E31-390F-413C-9D65-6FA45A9CB303}"/>
  </w:font>
  <w:font w:name="Flama Semicondensed Light">
    <w:panose1 w:val="02000000000000000000"/>
    <w:charset w:val="00"/>
    <w:family w:val="auto"/>
    <w:pitch w:val="variable"/>
    <w:sig w:usb0="A00000AF" w:usb1="4000207B" w:usb2="00000000" w:usb3="00000000" w:csb0="0000008B" w:csb1="00000000"/>
    <w:embedRegular r:id="rId2" w:fontKey="{983B95B6-452D-40B4-9558-8A79D5458B31}"/>
    <w:embedBold r:id="rId3" w:fontKey="{B50EB2CC-517D-4243-AD38-57F071621D6E}"/>
    <w:embedItalic r:id="rId4" w:fontKey="{E64C4100-A5C4-40EB-A087-405E08D0B46B}"/>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7B72E799-03DB-455D-A948-1467F5AC194C}"/>
  </w:font>
  <w:font w:name="Flama Semicondensed Medium">
    <w:panose1 w:val="02000000000000000000"/>
    <w:charset w:val="00"/>
    <w:family w:val="auto"/>
    <w:pitch w:val="variable"/>
    <w:sig w:usb0="A00000AF" w:usb1="4000207B" w:usb2="00000000" w:usb3="00000000" w:csb0="0000008B" w:csb1="00000000"/>
    <w:embedRegular r:id="rId6" w:fontKey="{3F8572E6-A885-4268-A246-F84436598204}"/>
    <w:embedBold r:id="rId7" w:fontKey="{9C77EAB6-5225-4399-A5EF-17833E8CB0FA}"/>
  </w:font>
  <w:font w:name="Calibri Light">
    <w:panose1 w:val="020F0302020204030204"/>
    <w:charset w:val="00"/>
    <w:family w:val="swiss"/>
    <w:pitch w:val="variable"/>
    <w:sig w:usb0="E4002EFF" w:usb1="C000247B" w:usb2="00000009" w:usb3="00000000" w:csb0="000001FF" w:csb1="00000000"/>
    <w:embedRegular r:id="rId8" w:fontKey="{3054BEDC-0671-4DE1-8296-F61BA7E6B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9513" w14:textId="77777777" w:rsidR="002231C9" w:rsidRDefault="002231C9" w:rsidP="002E70FC">
      <w:pPr>
        <w:spacing w:before="0" w:after="0"/>
      </w:pPr>
      <w:r>
        <w:separator/>
      </w:r>
    </w:p>
  </w:footnote>
  <w:footnote w:type="continuationSeparator" w:id="0">
    <w:p w14:paraId="7882235A" w14:textId="77777777" w:rsidR="002231C9" w:rsidRDefault="002231C9"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539D855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0110D1">
          <w:rPr>
            <w:lang w:val="en-US"/>
          </w:rPr>
          <w:t>Market Consultation Several Wilderhill Indices</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20.25pt" o:bullet="t">
        <v:imagedata r:id="rId1" o:title="S_Icons-Haken_02"/>
      </v:shape>
    </w:pict>
  </w:numPicBullet>
  <w:numPicBullet w:numPicBulletId="1">
    <w:pict>
      <v:shape w14:anchorId="4360039E" id="_x0000_i1027" type="#_x0000_t75" style="width:20.25pt;height:20.25pt" o:bullet="t">
        <v:imagedata r:id="rId2" o:title="S_Icons-Pfeil_02"/>
      </v:shape>
    </w:pict>
  </w:numPicBullet>
  <w:numPicBullet w:numPicBulletId="2">
    <w:pict>
      <v:shape id="_x0000_i1028" type="#_x0000_t75" style="width:15pt;height:15.75pt" o:bullet="t">
        <v:imagedata r:id="rId3" o:title="Bullet_2_Indices_Small"/>
      </v:shape>
    </w:pict>
  </w:numPicBullet>
  <w:numPicBullet w:numPicBulletId="3">
    <w:pict>
      <v:shape id="_x0000_i1029" type="#_x0000_t75" style="width:15pt;height:15.7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B1A3C"/>
    <w:multiLevelType w:val="hybridMultilevel"/>
    <w:tmpl w:val="679671B0"/>
    <w:lvl w:ilvl="0" w:tplc="10090001">
      <w:start w:val="1"/>
      <w:numFmt w:val="bullet"/>
      <w:lvlText w:val=""/>
      <w:lvlJc w:val="left"/>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6276A5"/>
    <w:multiLevelType w:val="hybridMultilevel"/>
    <w:tmpl w:val="2854AC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4D42B4"/>
    <w:multiLevelType w:val="multilevel"/>
    <w:tmpl w:val="61EE782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F7232B"/>
    <w:multiLevelType w:val="hybridMultilevel"/>
    <w:tmpl w:val="2854AC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1974783">
    <w:abstractNumId w:val="6"/>
  </w:num>
  <w:num w:numId="2" w16cid:durableId="1418940251">
    <w:abstractNumId w:val="9"/>
  </w:num>
  <w:num w:numId="3" w16cid:durableId="2100591094">
    <w:abstractNumId w:val="19"/>
  </w:num>
  <w:num w:numId="4" w16cid:durableId="426465790">
    <w:abstractNumId w:val="24"/>
  </w:num>
  <w:num w:numId="5" w16cid:durableId="33359279">
    <w:abstractNumId w:val="18"/>
  </w:num>
  <w:num w:numId="6" w16cid:durableId="1616018989">
    <w:abstractNumId w:val="10"/>
  </w:num>
  <w:num w:numId="7" w16cid:durableId="1277714759">
    <w:abstractNumId w:val="23"/>
  </w:num>
  <w:num w:numId="8" w16cid:durableId="1183395229">
    <w:abstractNumId w:val="4"/>
  </w:num>
  <w:num w:numId="9" w16cid:durableId="506408098">
    <w:abstractNumId w:val="16"/>
  </w:num>
  <w:num w:numId="10" w16cid:durableId="1557086302">
    <w:abstractNumId w:val="14"/>
  </w:num>
  <w:num w:numId="11" w16cid:durableId="235944626">
    <w:abstractNumId w:val="3"/>
  </w:num>
  <w:num w:numId="12" w16cid:durableId="291904946">
    <w:abstractNumId w:val="1"/>
  </w:num>
  <w:num w:numId="13" w16cid:durableId="1683049455">
    <w:abstractNumId w:val="17"/>
  </w:num>
  <w:num w:numId="14" w16cid:durableId="2143842786">
    <w:abstractNumId w:val="12"/>
  </w:num>
  <w:num w:numId="15" w16cid:durableId="1090467923">
    <w:abstractNumId w:val="5"/>
  </w:num>
  <w:num w:numId="16" w16cid:durableId="876697134">
    <w:abstractNumId w:val="13"/>
  </w:num>
  <w:num w:numId="17" w16cid:durableId="211700784">
    <w:abstractNumId w:val="25"/>
  </w:num>
  <w:num w:numId="18" w16cid:durableId="2030333007">
    <w:abstractNumId w:val="11"/>
  </w:num>
  <w:num w:numId="19" w16cid:durableId="948777888">
    <w:abstractNumId w:val="21"/>
  </w:num>
  <w:num w:numId="20" w16cid:durableId="755397014">
    <w:abstractNumId w:val="22"/>
  </w:num>
  <w:num w:numId="21" w16cid:durableId="1780369764">
    <w:abstractNumId w:val="0"/>
  </w:num>
  <w:num w:numId="22" w16cid:durableId="519397239">
    <w:abstractNumId w:val="20"/>
  </w:num>
  <w:num w:numId="23" w16cid:durableId="1139499948">
    <w:abstractNumId w:val="8"/>
  </w:num>
  <w:num w:numId="24" w16cid:durableId="660698425">
    <w:abstractNumId w:val="15"/>
  </w:num>
  <w:num w:numId="25" w16cid:durableId="1699968714">
    <w:abstractNumId w:val="7"/>
  </w:num>
  <w:num w:numId="26" w16cid:durableId="1059473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409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2E70FC"/>
    <w:rsid w:val="0000263E"/>
    <w:rsid w:val="00005128"/>
    <w:rsid w:val="00006199"/>
    <w:rsid w:val="000110D1"/>
    <w:rsid w:val="00011A1E"/>
    <w:rsid w:val="00014B02"/>
    <w:rsid w:val="00015D9F"/>
    <w:rsid w:val="00016545"/>
    <w:rsid w:val="00016E7A"/>
    <w:rsid w:val="00021696"/>
    <w:rsid w:val="0003022E"/>
    <w:rsid w:val="000307D7"/>
    <w:rsid w:val="00035808"/>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B2D6F"/>
    <w:rsid w:val="001C7018"/>
    <w:rsid w:val="001D0ECC"/>
    <w:rsid w:val="001D6895"/>
    <w:rsid w:val="001E7A70"/>
    <w:rsid w:val="001F1AAE"/>
    <w:rsid w:val="001F7F10"/>
    <w:rsid w:val="002127D7"/>
    <w:rsid w:val="00212F75"/>
    <w:rsid w:val="00216B32"/>
    <w:rsid w:val="002231C9"/>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A6254"/>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E3BAD"/>
    <w:rsid w:val="003F570C"/>
    <w:rsid w:val="0040784E"/>
    <w:rsid w:val="00411A63"/>
    <w:rsid w:val="00420C1C"/>
    <w:rsid w:val="0043684B"/>
    <w:rsid w:val="00447C88"/>
    <w:rsid w:val="00447DC5"/>
    <w:rsid w:val="004538B8"/>
    <w:rsid w:val="00456B65"/>
    <w:rsid w:val="00461F41"/>
    <w:rsid w:val="00466905"/>
    <w:rsid w:val="00471895"/>
    <w:rsid w:val="00475079"/>
    <w:rsid w:val="004819FA"/>
    <w:rsid w:val="00490CA4"/>
    <w:rsid w:val="004A1D02"/>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509E"/>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04BA"/>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63B87"/>
    <w:rsid w:val="00970C26"/>
    <w:rsid w:val="0097651D"/>
    <w:rsid w:val="00983D90"/>
    <w:rsid w:val="0099430F"/>
    <w:rsid w:val="00995D4A"/>
    <w:rsid w:val="009A2432"/>
    <w:rsid w:val="009A27F6"/>
    <w:rsid w:val="009A4F6D"/>
    <w:rsid w:val="009B45ED"/>
    <w:rsid w:val="009C5F0F"/>
    <w:rsid w:val="009C62E7"/>
    <w:rsid w:val="009D2EF7"/>
    <w:rsid w:val="009F51A9"/>
    <w:rsid w:val="00A2297C"/>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188B"/>
    <w:rsid w:val="00AF46AF"/>
    <w:rsid w:val="00B01B34"/>
    <w:rsid w:val="00B04ABF"/>
    <w:rsid w:val="00B1629F"/>
    <w:rsid w:val="00B210BC"/>
    <w:rsid w:val="00B302B4"/>
    <w:rsid w:val="00B4681A"/>
    <w:rsid w:val="00B5343D"/>
    <w:rsid w:val="00B53D80"/>
    <w:rsid w:val="00B60499"/>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5176A"/>
    <w:rsid w:val="00C676D8"/>
    <w:rsid w:val="00C750BC"/>
    <w:rsid w:val="00C77505"/>
    <w:rsid w:val="00C77B4F"/>
    <w:rsid w:val="00CA595E"/>
    <w:rsid w:val="00CC4A71"/>
    <w:rsid w:val="00CD41EB"/>
    <w:rsid w:val="00CD7284"/>
    <w:rsid w:val="00CD7B75"/>
    <w:rsid w:val="00CF29CC"/>
    <w:rsid w:val="00D06709"/>
    <w:rsid w:val="00D06800"/>
    <w:rsid w:val="00D06D8B"/>
    <w:rsid w:val="00D30535"/>
    <w:rsid w:val="00D50958"/>
    <w:rsid w:val="00D55031"/>
    <w:rsid w:val="00D620C6"/>
    <w:rsid w:val="00D7148C"/>
    <w:rsid w:val="00D72633"/>
    <w:rsid w:val="00D76406"/>
    <w:rsid w:val="00D85D43"/>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679F4"/>
    <w:rsid w:val="00E738F4"/>
    <w:rsid w:val="00E75C53"/>
    <w:rsid w:val="00E85D18"/>
    <w:rsid w:val="00E87285"/>
    <w:rsid w:val="00E9274E"/>
    <w:rsid w:val="00E93A88"/>
    <w:rsid w:val="00EA23FA"/>
    <w:rsid w:val="00EA4B8A"/>
    <w:rsid w:val="00EC2BCA"/>
    <w:rsid w:val="00ED0760"/>
    <w:rsid w:val="00ED2CE9"/>
    <w:rsid w:val="00EE22E3"/>
    <w:rsid w:val="00EF4A17"/>
    <w:rsid w:val="00F0488B"/>
    <w:rsid w:val="00F10ED1"/>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052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212F75"/>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44155">
      <w:bodyDiv w:val="1"/>
      <w:marLeft w:val="0"/>
      <w:marRight w:val="0"/>
      <w:marTop w:val="0"/>
      <w:marBottom w:val="0"/>
      <w:divBdr>
        <w:top w:val="none" w:sz="0" w:space="0" w:color="auto"/>
        <w:left w:val="none" w:sz="0" w:space="0" w:color="auto"/>
        <w:bottom w:val="none" w:sz="0" w:space="0" w:color="auto"/>
        <w:right w:val="none" w:sz="0" w:space="0" w:color="auto"/>
      </w:divBdr>
    </w:div>
    <w:div w:id="1523468239">
      <w:bodyDiv w:val="1"/>
      <w:marLeft w:val="0"/>
      <w:marRight w:val="0"/>
      <w:marTop w:val="0"/>
      <w:marBottom w:val="0"/>
      <w:divBdr>
        <w:top w:val="none" w:sz="0" w:space="0" w:color="auto"/>
        <w:left w:val="none" w:sz="0" w:space="0" w:color="auto"/>
        <w:bottom w:val="none" w:sz="0" w:space="0" w:color="auto"/>
        <w:right w:val="none" w:sz="0" w:space="0" w:color="auto"/>
      </w:divBdr>
    </w:div>
    <w:div w:id="1634214335">
      <w:bodyDiv w:val="1"/>
      <w:marLeft w:val="0"/>
      <w:marRight w:val="0"/>
      <w:marTop w:val="0"/>
      <w:marBottom w:val="0"/>
      <w:divBdr>
        <w:top w:val="none" w:sz="0" w:space="0" w:color="auto"/>
        <w:left w:val="none" w:sz="0" w:space="0" w:color="auto"/>
        <w:bottom w:val="none" w:sz="0" w:space="0" w:color="auto"/>
        <w:right w:val="none" w:sz="0" w:space="0" w:color="auto"/>
      </w:divBdr>
    </w:div>
    <w:div w:id="1775708965">
      <w:bodyDiv w:val="1"/>
      <w:marLeft w:val="0"/>
      <w:marRight w:val="0"/>
      <w:marTop w:val="0"/>
      <w:marBottom w:val="0"/>
      <w:divBdr>
        <w:top w:val="none" w:sz="0" w:space="0" w:color="auto"/>
        <w:left w:val="none" w:sz="0" w:space="0" w:color="auto"/>
        <w:bottom w:val="none" w:sz="0" w:space="0" w:color="auto"/>
        <w:right w:val="none" w:sz="0" w:space="0" w:color="auto"/>
      </w:divBdr>
    </w:div>
    <w:div w:id="20938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6.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rketconsultation@solacti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olactive.com/document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olactive.com/docu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40B94"/>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123B6"/>
    <w:rsid w:val="00F70D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F6D4F6E95E154EB6E959E507370A62" ma:contentTypeVersion="7" ma:contentTypeDescription="Create a new document." ma:contentTypeScope="" ma:versionID="b924625592bc9662a0a2eec14c4b647c">
  <xsd:schema xmlns:xsd="http://www.w3.org/2001/XMLSchema" xmlns:xs="http://www.w3.org/2001/XMLSchema" xmlns:p="http://schemas.microsoft.com/office/2006/metadata/properties" xmlns:ns3="a42a0461-d5c4-4335-be5e-8b764f38727f" xmlns:ns4="91c9acb5-6f56-40e5-bf75-a04a98a1d995" targetNamespace="http://schemas.microsoft.com/office/2006/metadata/properties" ma:root="true" ma:fieldsID="f5b8db87c21ce01dbc0d23f6561ac930" ns3:_="" ns4:_="">
    <xsd:import namespace="a42a0461-d5c4-4335-be5e-8b764f38727f"/>
    <xsd:import namespace="91c9acb5-6f56-40e5-bf75-a04a98a1d9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0461-d5c4-4335-be5e-8b764f3872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c9acb5-6f56-40e5-bf75-a04a98a1d99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customXml/itemProps3.xml><?xml version="1.0" encoding="utf-8"?>
<ds:datastoreItem xmlns:ds="http://schemas.openxmlformats.org/officeDocument/2006/customXml" ds:itemID="{24A045BE-0C20-4EF2-BEEB-263DE1F5B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0461-d5c4-4335-be5e-8b764f38727f"/>
    <ds:schemaRef ds:uri="91c9acb5-6f56-40e5-bf75-a04a98a1d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5521A5-4A83-4DFC-BB9D-89DCD90E8B16}">
  <ds:schemaRefs>
    <ds:schemaRef ds:uri="http://schemas.microsoft.com/sharepoint/v3/contenttype/forms"/>
  </ds:schemaRefs>
</ds:datastoreItem>
</file>

<file path=customXml/itemProps5.xml><?xml version="1.0" encoding="utf-8"?>
<ds:datastoreItem xmlns:ds="http://schemas.openxmlformats.org/officeDocument/2006/customXml" ds:itemID="{8DAEEE92-B751-4E10-BBA3-802409B6CC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1300</Words>
  <Characters>7410</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Several Wilderhill Indices</vt:lpstr>
      <vt:lpstr>Market Consultation Several Wilderhill Indices</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Wilderhill Indices</dc:title>
  <dc:subject>Calculation Documents &amp; Methodologies</dc:subject>
  <dc:creator>Solactive AG</dc:creator>
  <cp:keywords/>
  <dc:description/>
  <cp:lastModifiedBy>Xia, James</cp:lastModifiedBy>
  <cp:revision>3</cp:revision>
  <cp:lastPrinted>2018-12-10T16:54:00Z</cp:lastPrinted>
  <dcterms:created xsi:type="dcterms:W3CDTF">2022-10-11T19:45:00Z</dcterms:created>
  <dcterms:modified xsi:type="dcterms:W3CDTF">2022-10-11T20:18:00Z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y fmtid="{D5CDD505-2E9C-101B-9397-08002B2CF9AE}" pid="9" name="ContentTypeId">
    <vt:lpwstr>0x010100C2F6D4F6E95E154EB6E959E507370A62</vt:lpwstr>
  </property>
</Properties>
</file>