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p w14:paraId="375D2A68" w14:textId="42BB9841" w:rsidR="0092193A" w:rsidRPr="00C84ED8" w:rsidRDefault="006837AE" w:rsidP="006837AE">
          <w:pPr>
            <w:pStyle w:val="Title"/>
            <w:rPr>
              <w:color w:val="FFFFFF" w:themeColor="background1"/>
              <w:lang w:val="en-US"/>
            </w:rPr>
          </w:pPr>
          <w:r w:rsidRPr="00C84ED8">
            <w:rPr>
              <w:color w:val="FFFFFF" w:themeColor="background1"/>
              <w:lang w:val="en-US"/>
            </w:rPr>
            <w:t xml:space="preserve">MARKET CONSULTATION SOLACTIVE CLEAN ENERGY </w:t>
          </w:r>
          <w:r w:rsidR="00E93591" w:rsidRPr="00C84ED8">
            <w:rPr>
              <w:color w:val="FFFFFF" w:themeColor="background1"/>
              <w:lang w:val="en-DE"/>
            </w:rPr>
            <w:t>I</w:t>
          </w:r>
          <w:r w:rsidRPr="00C84ED8">
            <w:rPr>
              <w:color w:val="FFFFFF" w:themeColor="background1"/>
              <w:lang w:val="en-US"/>
            </w:rPr>
            <w:t xml:space="preserve">NDEX – CHANGES TO INDEX METHODOLOGY </w:t>
          </w: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4E3681F2" w:rsidR="00466905" w:rsidRPr="00D902A1" w:rsidRDefault="000F0727"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2-07-06T00:00:00Z">
                                      <w:dateFormat w:val="dd MMMM yyyy"/>
                                      <w:lid w:val="en-GB"/>
                                      <w:storeMappedDataAs w:val="dateTime"/>
                                      <w:calendar w:val="gregorian"/>
                                    </w:date>
                                  </w:sdtPr>
                                  <w:sdtEndPr/>
                                  <w:sdtContent>
                                    <w:r w:rsidR="00E93591">
                                      <w:rPr>
                                        <w:color w:val="FFFFFF" w:themeColor="background1"/>
                                        <w:sz w:val="26"/>
                                        <w:szCs w:val="26"/>
                                        <w:lang w:val="en-GB"/>
                                      </w:rPr>
                                      <w:t>06 July 2022</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4E3681F2" w:rsidR="00466905" w:rsidRPr="00D902A1" w:rsidRDefault="000F0727"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2-07-06T00:00:00Z">
                                <w:dateFormat w:val="dd MMMM yyyy"/>
                                <w:lid w:val="en-GB"/>
                                <w:storeMappedDataAs w:val="dateTime"/>
                                <w:calendar w:val="gregorian"/>
                              </w:date>
                            </w:sdtPr>
                            <w:sdtEndPr/>
                            <w:sdtContent>
                              <w:r w:rsidR="00E93591">
                                <w:rPr>
                                  <w:color w:val="FFFFFF" w:themeColor="background1"/>
                                  <w:sz w:val="26"/>
                                  <w:szCs w:val="26"/>
                                  <w:lang w:val="en-GB"/>
                                </w:rPr>
                                <w:t>06 July 2022</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DC57B1" w14:textId="28A65F2C" w:rsidR="00E05994" w:rsidRDefault="002663E0" w:rsidP="00E05994">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w:t>
      </w:r>
      <w:r w:rsidR="00E05994" w:rsidRPr="000F0316">
        <w:rPr>
          <w:lang w:val="en-GB"/>
        </w:rPr>
        <w:t xml:space="preserve">following </w:t>
      </w:r>
      <w:r w:rsidR="00A97E61" w:rsidRPr="000F0316">
        <w:rPr>
          <w:lang w:val="en-US"/>
        </w:rPr>
        <w:t xml:space="preserve"> Ind</w:t>
      </w:r>
      <w:r w:rsidR="00E05994" w:rsidRPr="000F0316">
        <w:rPr>
          <w:lang w:val="en-US"/>
        </w:rPr>
        <w:t>ices (the ‘</w:t>
      </w:r>
      <w:r w:rsidR="00A97E61" w:rsidRPr="000F0316">
        <w:rPr>
          <w:lang w:val="en-US"/>
        </w:rPr>
        <w:t>Ind</w:t>
      </w:r>
      <w:r w:rsidR="00E05994" w:rsidRPr="000F0316">
        <w:rPr>
          <w:lang w:val="en-US"/>
        </w:rPr>
        <w:t>ices’):</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170AE4" w14:paraId="285C0C70" w14:textId="77777777" w:rsidTr="00447EFF">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1986C86E" w14:textId="5A314D5D" w:rsidR="00170AE4" w:rsidRPr="003A1DD5" w:rsidRDefault="00170AE4" w:rsidP="00170AE4">
            <w:pPr>
              <w:spacing w:line="256" w:lineRule="auto"/>
              <w:rPr>
                <w:rFonts w:eastAsia="Calibri"/>
                <w:color w:val="000000"/>
                <w:sz w:val="22"/>
                <w:szCs w:val="22"/>
                <w:lang w:val="en-US" w:eastAsia="en-US"/>
              </w:rPr>
            </w:pPr>
            <w:r w:rsidRPr="002E5C10">
              <w:rPr>
                <w:smallCaps/>
                <w:lang w:val="en-US"/>
              </w:rPr>
              <w:t>Solactive Clean Energy Index PR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62C3F688" w14:textId="391E63CC" w:rsidR="00170AE4" w:rsidRDefault="00170AE4" w:rsidP="00170AE4">
            <w:pPr>
              <w:spacing w:line="256" w:lineRule="auto"/>
              <w:rPr>
                <w:rFonts w:eastAsia="Calibri"/>
                <w:color w:val="000000"/>
                <w:lang w:val="en-GB" w:eastAsia="en-US"/>
              </w:rPr>
            </w:pPr>
            <w:r w:rsidRPr="009A60A1">
              <w:rPr>
                <w:lang w:val="en-US"/>
              </w:rPr>
              <w:t xml:space="preserve">.SOLCLNEP </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12D59FB1" w14:textId="46857859" w:rsidR="00170AE4" w:rsidRDefault="00170AE4" w:rsidP="00170AE4">
            <w:pPr>
              <w:spacing w:line="256" w:lineRule="auto"/>
              <w:rPr>
                <w:rFonts w:eastAsia="Calibri"/>
                <w:color w:val="000000"/>
                <w:lang w:val="en-GB" w:eastAsia="en-US"/>
              </w:rPr>
            </w:pPr>
            <w:r w:rsidRPr="00676DEE">
              <w:rPr>
                <w:lang w:val="en-US"/>
              </w:rPr>
              <w:t>DE000SL0AVM5</w:t>
            </w:r>
          </w:p>
        </w:tc>
      </w:tr>
      <w:tr w:rsidR="00170AE4" w:rsidRPr="00170AE4" w14:paraId="24AE9864" w14:textId="77777777" w:rsidTr="00447EFF">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7659A5F5" w14:textId="5918ED33" w:rsidR="00170AE4" w:rsidRPr="002E5C10" w:rsidRDefault="00170AE4" w:rsidP="00170AE4">
            <w:pPr>
              <w:spacing w:line="256" w:lineRule="auto"/>
              <w:rPr>
                <w:smallCaps/>
                <w:lang w:val="en-US"/>
              </w:rPr>
            </w:pPr>
            <w:r w:rsidRPr="002E5C10">
              <w:rPr>
                <w:smallCaps/>
                <w:lang w:val="en-US"/>
              </w:rPr>
              <w:t>Solactive Clean Energy Index NTR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6840A4C2" w14:textId="5DE76678" w:rsidR="00170AE4" w:rsidRDefault="00170AE4" w:rsidP="00170AE4">
            <w:pPr>
              <w:spacing w:line="256" w:lineRule="auto"/>
              <w:rPr>
                <w:rFonts w:eastAsia="Calibri"/>
                <w:color w:val="000000"/>
                <w:lang w:val="en-GB" w:eastAsia="en-US"/>
              </w:rPr>
            </w:pPr>
            <w:r w:rsidRPr="00075ADB">
              <w:rPr>
                <w:lang w:val="en-US"/>
              </w:rPr>
              <w:t>.SOLCLNEN</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12FD90F4" w14:textId="0966B7FD" w:rsidR="00170AE4" w:rsidRDefault="00170AE4" w:rsidP="00170AE4">
            <w:pPr>
              <w:spacing w:line="256" w:lineRule="auto"/>
              <w:rPr>
                <w:rFonts w:eastAsia="Calibri"/>
                <w:color w:val="000000"/>
                <w:lang w:val="en-GB" w:eastAsia="en-US"/>
              </w:rPr>
            </w:pPr>
            <w:r w:rsidRPr="00676DEE">
              <w:rPr>
                <w:lang w:val="en-US"/>
              </w:rPr>
              <w:t>DE000SL0AVN3</w:t>
            </w:r>
          </w:p>
        </w:tc>
      </w:tr>
      <w:tr w:rsidR="00170AE4" w:rsidRPr="00170AE4" w14:paraId="59F22582" w14:textId="77777777" w:rsidTr="00447EFF">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70EA0271" w14:textId="3995D234" w:rsidR="00170AE4" w:rsidRPr="002E5C10" w:rsidRDefault="00170AE4" w:rsidP="00170AE4">
            <w:pPr>
              <w:spacing w:line="256" w:lineRule="auto"/>
              <w:rPr>
                <w:smallCaps/>
                <w:lang w:val="en-US"/>
              </w:rPr>
            </w:pPr>
            <w:r w:rsidRPr="002E5C10">
              <w:rPr>
                <w:smallCaps/>
                <w:lang w:val="en-US"/>
              </w:rPr>
              <w:t>Solactive Clean Energy Index 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5C6CA7FA" w14:textId="1152EFE0" w:rsidR="00170AE4" w:rsidRDefault="00170AE4" w:rsidP="00170AE4">
            <w:pPr>
              <w:spacing w:line="256" w:lineRule="auto"/>
              <w:rPr>
                <w:rFonts w:eastAsia="Calibri"/>
                <w:color w:val="000000"/>
                <w:lang w:val="en-GB" w:eastAsia="en-US"/>
              </w:rPr>
            </w:pPr>
            <w:r w:rsidRPr="00075ADB">
              <w:rPr>
                <w:lang w:val="en-US"/>
              </w:rPr>
              <w:t>.SOLCLNET</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4F7516A2" w14:textId="44AD2D97" w:rsidR="00170AE4" w:rsidRDefault="00170AE4" w:rsidP="00170AE4">
            <w:pPr>
              <w:spacing w:line="256" w:lineRule="auto"/>
              <w:rPr>
                <w:rFonts w:eastAsia="Calibri"/>
                <w:color w:val="000000"/>
                <w:lang w:val="en-GB" w:eastAsia="en-US"/>
              </w:rPr>
            </w:pPr>
            <w:r w:rsidRPr="00676DEE">
              <w:rPr>
                <w:lang w:val="en-US"/>
              </w:rPr>
              <w:t>DE000SL0AVP8</w:t>
            </w:r>
          </w:p>
        </w:tc>
      </w:tr>
    </w:tbl>
    <w:p w14:paraId="590E3787" w14:textId="77777777" w:rsidR="00E05994" w:rsidRDefault="00E05994" w:rsidP="00E05994">
      <w:pPr>
        <w:spacing w:before="0" w:after="160" w:line="259" w:lineRule="auto"/>
        <w:rPr>
          <w:lang w:val="en-GB"/>
        </w:rPr>
      </w:pPr>
    </w:p>
    <w:p w14:paraId="012DE387" w14:textId="479E8820" w:rsidR="00783C68" w:rsidRPr="0026131F" w:rsidRDefault="00E05994" w:rsidP="00995D4A">
      <w:pPr>
        <w:spacing w:before="0" w:after="160" w:line="259" w:lineRule="auto"/>
        <w:jc w:val="left"/>
        <w:rPr>
          <w:sz w:val="28"/>
          <w:szCs w:val="28"/>
          <w:lang w:val="en-GB"/>
        </w:rPr>
      </w:pPr>
      <w:r>
        <w:rPr>
          <w:lang w:val="en-GB"/>
        </w:rPr>
        <w:t xml:space="preserve"> </w:t>
      </w:r>
      <w:r w:rsidR="00783C68" w:rsidRPr="0026131F">
        <w:rPr>
          <w:b/>
          <w:bCs/>
          <w:sz w:val="28"/>
          <w:szCs w:val="28"/>
          <w:u w:val="single"/>
          <w:lang w:val="en-GB"/>
        </w:rPr>
        <w:t xml:space="preserve">Rationale for </w:t>
      </w:r>
      <w:r w:rsidR="0073537F">
        <w:rPr>
          <w:b/>
          <w:bCs/>
          <w:sz w:val="28"/>
          <w:szCs w:val="28"/>
          <w:u w:val="single"/>
          <w:lang w:val="en-DE"/>
        </w:rPr>
        <w:t xml:space="preserve">the </w:t>
      </w:r>
      <w:r w:rsidR="004D6535" w:rsidRPr="0026131F">
        <w:rPr>
          <w:b/>
          <w:bCs/>
          <w:sz w:val="28"/>
          <w:szCs w:val="28"/>
          <w:u w:val="single"/>
          <w:lang w:val="en-GB"/>
        </w:rPr>
        <w:t>Market Consultation</w:t>
      </w:r>
    </w:p>
    <w:p w14:paraId="35AC0D87" w14:textId="54A9CEDC" w:rsidR="00714664" w:rsidRDefault="009B7449" w:rsidP="0031521F">
      <w:pPr>
        <w:rPr>
          <w:lang w:val="en-GB"/>
        </w:rPr>
      </w:pPr>
      <w:r w:rsidRPr="00C369DE">
        <w:rPr>
          <w:lang w:val="en-GB"/>
        </w:rPr>
        <w:t>The Indices aim to track the performance of a basket of stocks of companies that are actively engaged in the international clean energy industry. </w:t>
      </w:r>
      <w:r w:rsidR="00714664">
        <w:rPr>
          <w:lang w:val="en-DE"/>
        </w:rPr>
        <w:t xml:space="preserve">In order to refine the strategy of the </w:t>
      </w:r>
      <w:r w:rsidR="00714664" w:rsidRPr="00874855">
        <w:rPr>
          <w:lang w:val="en-GB"/>
        </w:rPr>
        <w:t>Indices</w:t>
      </w:r>
      <w:r w:rsidR="00714664">
        <w:rPr>
          <w:lang w:val="en-DE"/>
        </w:rPr>
        <w:t>,</w:t>
      </w:r>
      <w:r w:rsidR="00714664" w:rsidRPr="009B7449">
        <w:rPr>
          <w:lang w:val="en-GB"/>
        </w:rPr>
        <w:t xml:space="preserve"> </w:t>
      </w:r>
      <w:r>
        <w:rPr>
          <w:lang w:val="en-DE"/>
        </w:rPr>
        <w:t xml:space="preserve">Solactive </w:t>
      </w:r>
      <w:r w:rsidR="00714664">
        <w:rPr>
          <w:lang w:val="en-DE"/>
        </w:rPr>
        <w:t xml:space="preserve">propose to </w:t>
      </w:r>
      <w:r>
        <w:rPr>
          <w:lang w:val="en-DE"/>
        </w:rPr>
        <w:t>make</w:t>
      </w:r>
      <w:r w:rsidR="00714664">
        <w:rPr>
          <w:lang w:val="en-DE"/>
        </w:rPr>
        <w:t xml:space="preserve"> following</w:t>
      </w:r>
      <w:r>
        <w:rPr>
          <w:lang w:val="en-DE"/>
        </w:rPr>
        <w:t xml:space="preserve"> changes</w:t>
      </w:r>
      <w:r w:rsidR="00714664">
        <w:rPr>
          <w:lang w:val="en-DE"/>
        </w:rPr>
        <w:t xml:space="preserve"> to the methodology.  </w:t>
      </w:r>
      <w:r>
        <w:rPr>
          <w:lang w:val="en-DE"/>
        </w:rPr>
        <w:t xml:space="preserve"> </w:t>
      </w:r>
    </w:p>
    <w:p w14:paraId="4C257A61" w14:textId="62705467" w:rsidR="00714664" w:rsidRPr="00C369DE" w:rsidRDefault="00714664" w:rsidP="00714664">
      <w:pPr>
        <w:pStyle w:val="ListParagraph"/>
        <w:numPr>
          <w:ilvl w:val="0"/>
          <w:numId w:val="26"/>
        </w:numPr>
        <w:rPr>
          <w:lang w:val="en-US" w:eastAsia="en-US"/>
        </w:rPr>
      </w:pPr>
      <w:r>
        <w:rPr>
          <w:lang w:val="en-DE"/>
        </w:rPr>
        <w:t xml:space="preserve">Increase in the number </w:t>
      </w:r>
      <w:r w:rsidR="001F784A" w:rsidRPr="00714664">
        <w:rPr>
          <w:lang w:val="en-GB"/>
        </w:rPr>
        <w:t xml:space="preserve"> of Tenders </w:t>
      </w:r>
      <w:r w:rsidR="00B94CC1" w:rsidRPr="00714664">
        <w:rPr>
          <w:lang w:val="en-GB"/>
        </w:rPr>
        <w:t>required for selection</w:t>
      </w:r>
      <w:r>
        <w:rPr>
          <w:lang w:val="en-DE"/>
        </w:rPr>
        <w:t>,</w:t>
      </w:r>
    </w:p>
    <w:p w14:paraId="3FD64356" w14:textId="7E983999" w:rsidR="00714664" w:rsidRPr="00C369DE" w:rsidRDefault="009C16F9" w:rsidP="00714664">
      <w:pPr>
        <w:pStyle w:val="ListParagraph"/>
        <w:numPr>
          <w:ilvl w:val="0"/>
          <w:numId w:val="26"/>
        </w:numPr>
        <w:rPr>
          <w:lang w:val="en-US" w:eastAsia="en-US"/>
        </w:rPr>
      </w:pPr>
      <w:r>
        <w:rPr>
          <w:lang w:val="en-US"/>
        </w:rPr>
        <w:t>Exclusion of funds from the selection process</w:t>
      </w:r>
    </w:p>
    <w:p w14:paraId="12FAD06E" w14:textId="1D8DDD99" w:rsidR="00714664" w:rsidRPr="00C369DE" w:rsidRDefault="00714664" w:rsidP="00714664">
      <w:pPr>
        <w:pStyle w:val="ListParagraph"/>
        <w:numPr>
          <w:ilvl w:val="0"/>
          <w:numId w:val="26"/>
        </w:numPr>
        <w:rPr>
          <w:lang w:val="en-US" w:eastAsia="en-US"/>
        </w:rPr>
      </w:pPr>
      <w:r>
        <w:rPr>
          <w:lang w:val="en-DE"/>
        </w:rPr>
        <w:t>Adjustment to the</w:t>
      </w:r>
      <w:r w:rsidR="005552A0" w:rsidRPr="00714664">
        <w:rPr>
          <w:lang w:val="en-GB"/>
        </w:rPr>
        <w:t xml:space="preserve"> </w:t>
      </w:r>
      <w:r w:rsidR="00B94CC1" w:rsidRPr="00714664">
        <w:rPr>
          <w:lang w:val="en-GB"/>
        </w:rPr>
        <w:t xml:space="preserve">required </w:t>
      </w:r>
      <w:r w:rsidR="005552A0" w:rsidRPr="00714664">
        <w:rPr>
          <w:lang w:val="en-GB"/>
        </w:rPr>
        <w:t xml:space="preserve">thresholds </w:t>
      </w:r>
      <w:r w:rsidR="00695080" w:rsidRPr="00714664">
        <w:rPr>
          <w:lang w:val="en-GB"/>
        </w:rPr>
        <w:t xml:space="preserve">for the Cumulative Capacity of </w:t>
      </w:r>
      <w:r w:rsidR="00B94CC1" w:rsidRPr="00714664">
        <w:rPr>
          <w:lang w:val="en-GB"/>
        </w:rPr>
        <w:t>companies</w:t>
      </w:r>
      <w:r w:rsidR="00695080" w:rsidRPr="00714664">
        <w:rPr>
          <w:lang w:val="en-GB"/>
        </w:rPr>
        <w:t xml:space="preserve"> </w:t>
      </w:r>
      <w:r w:rsidR="0031521F" w:rsidRPr="00714664">
        <w:rPr>
          <w:lang w:val="en-GB"/>
        </w:rPr>
        <w:t>to avoid unnecessary and excess turnover</w:t>
      </w:r>
      <w:r>
        <w:rPr>
          <w:lang w:val="en-DE"/>
        </w:rPr>
        <w:t>,</w:t>
      </w:r>
    </w:p>
    <w:p w14:paraId="08317A90" w14:textId="4D8EDEAA" w:rsidR="00714664" w:rsidRPr="00C369DE" w:rsidRDefault="00714664" w:rsidP="00714664">
      <w:pPr>
        <w:pStyle w:val="ListParagraph"/>
        <w:numPr>
          <w:ilvl w:val="0"/>
          <w:numId w:val="26"/>
        </w:numPr>
        <w:rPr>
          <w:lang w:val="en-US" w:eastAsia="en-US"/>
        </w:rPr>
      </w:pPr>
      <w:r>
        <w:rPr>
          <w:lang w:val="en-DE"/>
        </w:rPr>
        <w:t>Include</w:t>
      </w:r>
      <w:r w:rsidRPr="0061270C">
        <w:rPr>
          <w:lang w:val="en-HK"/>
        </w:rPr>
        <w:t xml:space="preserve"> a dynamic weighting mechanism that takes into account factors like Assets under Management in the product(s) tracking the </w:t>
      </w:r>
      <w:r>
        <w:rPr>
          <w:lang w:val="en-DE"/>
        </w:rPr>
        <w:t>Indices</w:t>
      </w:r>
      <w:r w:rsidRPr="0061270C">
        <w:rPr>
          <w:lang w:val="en-HK"/>
        </w:rPr>
        <w:t>, maximum participation, turnover and maximum ownership per company</w:t>
      </w:r>
      <w:r>
        <w:rPr>
          <w:lang w:val="en-DE"/>
        </w:rPr>
        <w:t xml:space="preserve"> to </w:t>
      </w:r>
      <w:r w:rsidRPr="0061270C">
        <w:rPr>
          <w:lang w:val="en-HK"/>
        </w:rPr>
        <w:t>ensure</w:t>
      </w:r>
      <w:r>
        <w:rPr>
          <w:lang w:val="en-DE"/>
        </w:rPr>
        <w:t xml:space="preserve"> tradability, reduction of tracking difference of the </w:t>
      </w:r>
      <w:r w:rsidRPr="0061270C">
        <w:rPr>
          <w:lang w:val="en-HK"/>
        </w:rPr>
        <w:t>product(s)</w:t>
      </w:r>
      <w:r>
        <w:rPr>
          <w:lang w:val="en-HK"/>
        </w:rPr>
        <w:t xml:space="preserve"> </w:t>
      </w:r>
      <w:r w:rsidRPr="0061270C">
        <w:rPr>
          <w:lang w:val="en-HK"/>
        </w:rPr>
        <w:t xml:space="preserve">tracking the </w:t>
      </w:r>
      <w:r>
        <w:rPr>
          <w:lang w:val="en-DE"/>
        </w:rPr>
        <w:t>Indices,</w:t>
      </w:r>
    </w:p>
    <w:p w14:paraId="326069CB" w14:textId="7AA5B98D" w:rsidR="00714664" w:rsidRPr="00C369DE" w:rsidRDefault="00714664" w:rsidP="00714664">
      <w:pPr>
        <w:pStyle w:val="ListParagraph"/>
        <w:numPr>
          <w:ilvl w:val="0"/>
          <w:numId w:val="26"/>
        </w:numPr>
        <w:rPr>
          <w:lang w:val="en-US" w:eastAsia="en-US"/>
        </w:rPr>
      </w:pPr>
      <w:r w:rsidRPr="00714664">
        <w:rPr>
          <w:lang w:val="en-DE"/>
        </w:rPr>
        <w:t xml:space="preserve">Switch to </w:t>
      </w:r>
      <w:r w:rsidRPr="00714664">
        <w:rPr>
          <w:lang w:val="en-HK"/>
        </w:rPr>
        <w:t>ESG Exclusions Index</w:t>
      </w:r>
      <w:r w:rsidR="00FF5228">
        <w:rPr>
          <w:lang w:val="en-DE"/>
        </w:rPr>
        <w:t xml:space="preserve"> of</w:t>
      </w:r>
      <w:r w:rsidRPr="00714664">
        <w:rPr>
          <w:lang w:val="en-DE"/>
        </w:rPr>
        <w:t xml:space="preserve"> </w:t>
      </w:r>
      <w:r w:rsidR="00FF5228" w:rsidRPr="00714664">
        <w:rPr>
          <w:lang w:val="en-HK"/>
        </w:rPr>
        <w:t>Solactive</w:t>
      </w:r>
      <w:r w:rsidR="00FF5228" w:rsidRPr="00714664">
        <w:rPr>
          <w:lang w:val="en-DE"/>
        </w:rPr>
        <w:t xml:space="preserve"> </w:t>
      </w:r>
      <w:r w:rsidRPr="00714664">
        <w:rPr>
          <w:lang w:val="en-DE"/>
        </w:rPr>
        <w:t>for stringent</w:t>
      </w:r>
      <w:r w:rsidRPr="00714664">
        <w:rPr>
          <w:lang w:val="en-HK"/>
        </w:rPr>
        <w:t>, reliable and comprehensive</w:t>
      </w:r>
      <w:r w:rsidRPr="00714664">
        <w:rPr>
          <w:lang w:val="en-DE"/>
        </w:rPr>
        <w:t xml:space="preserve"> ESG filters.</w:t>
      </w:r>
    </w:p>
    <w:p w14:paraId="3869B00C" w14:textId="67F89BA9" w:rsidR="0031521F" w:rsidRDefault="0031521F" w:rsidP="0031521F">
      <w:pPr>
        <w:spacing w:before="0" w:after="160" w:line="259" w:lineRule="auto"/>
        <w:rPr>
          <w:rFonts w:eastAsia="Calibri"/>
          <w:lang w:val="en-US" w:eastAsia="en-US"/>
        </w:rPr>
      </w:pPr>
      <w:r>
        <w:rPr>
          <w:rFonts w:eastAsia="Calibri"/>
          <w:lang w:val="en-US" w:eastAsia="en-US"/>
        </w:rPr>
        <w:t>A more detailed overview of the</w:t>
      </w:r>
      <w:r>
        <w:rPr>
          <w:rFonts w:eastAsia="Calibri"/>
          <w:lang w:val="en-DE" w:eastAsia="en-US"/>
        </w:rPr>
        <w:t xml:space="preserve"> proposed changes is provided </w:t>
      </w:r>
      <w:r>
        <w:rPr>
          <w:rFonts w:eastAsia="Calibri"/>
          <w:lang w:val="en-US" w:eastAsia="en-US"/>
        </w:rPr>
        <w:t>below in section “Proposed Changes to the Index Guideline”.</w:t>
      </w:r>
    </w:p>
    <w:p w14:paraId="2A079CAD" w14:textId="0D2D3122" w:rsidR="00F568D6" w:rsidRPr="000F0316" w:rsidRDefault="004A428F" w:rsidP="00F568D6">
      <w:pPr>
        <w:spacing w:before="0" w:after="160" w:line="259" w:lineRule="auto"/>
        <w:jc w:val="left"/>
        <w:rPr>
          <w:b/>
          <w:bCs/>
          <w:sz w:val="28"/>
          <w:szCs w:val="28"/>
          <w:u w:val="single"/>
          <w:lang w:val="en-GB"/>
        </w:rPr>
      </w:pPr>
      <w:r w:rsidRPr="000F0316">
        <w:rPr>
          <w:b/>
          <w:bCs/>
          <w:sz w:val="28"/>
          <w:szCs w:val="28"/>
          <w:u w:val="single"/>
          <w:lang w:val="en-GB"/>
        </w:rPr>
        <w:t xml:space="preserve">Proposed </w:t>
      </w:r>
      <w:r w:rsidR="00F568D6" w:rsidRPr="000F0316">
        <w:rPr>
          <w:b/>
          <w:bCs/>
          <w:sz w:val="28"/>
          <w:szCs w:val="28"/>
          <w:u w:val="single"/>
          <w:lang w:val="en-GB"/>
        </w:rPr>
        <w:t>Change</w:t>
      </w:r>
      <w:r w:rsidR="00C77B4F" w:rsidRPr="000F0316">
        <w:rPr>
          <w:b/>
          <w:bCs/>
          <w:sz w:val="28"/>
          <w:szCs w:val="28"/>
          <w:u w:val="single"/>
          <w:lang w:val="en-GB"/>
        </w:rPr>
        <w:t>s</w:t>
      </w:r>
      <w:r w:rsidR="00C77B4F" w:rsidRPr="000F0316" w:rsidDel="00C77B4F">
        <w:rPr>
          <w:b/>
          <w:bCs/>
          <w:sz w:val="28"/>
          <w:szCs w:val="28"/>
          <w:u w:val="single"/>
          <w:lang w:val="en-GB"/>
        </w:rPr>
        <w:t xml:space="preserve"> </w:t>
      </w:r>
      <w:r w:rsidR="00F568D6" w:rsidRPr="000F0316">
        <w:rPr>
          <w:b/>
          <w:bCs/>
          <w:sz w:val="28"/>
          <w:szCs w:val="28"/>
          <w:u w:val="single"/>
          <w:lang w:val="en-GB"/>
        </w:rPr>
        <w:t>to the Index Guideline</w:t>
      </w:r>
    </w:p>
    <w:p w14:paraId="7D66871B" w14:textId="3FAA95C3" w:rsidR="004A428F" w:rsidRDefault="004A428F" w:rsidP="0026131F">
      <w:pPr>
        <w:spacing w:before="0" w:after="160" w:line="259" w:lineRule="auto"/>
        <w:rPr>
          <w:lang w:val="en-GB"/>
        </w:rPr>
      </w:pPr>
      <w:r w:rsidRPr="000F0316">
        <w:rPr>
          <w:lang w:val="en-GB"/>
        </w:rPr>
        <w:t>The following Methodology change</w:t>
      </w:r>
      <w:r w:rsidR="00A64163" w:rsidRPr="000F0316">
        <w:rPr>
          <w:lang w:val="en-GB"/>
        </w:rPr>
        <w:t>s</w:t>
      </w:r>
      <w:r w:rsidRPr="000F0316">
        <w:rPr>
          <w:lang w:val="en-GB"/>
        </w:rPr>
        <w:t xml:space="preserve"> are proposed in the following point</w:t>
      </w:r>
      <w:r w:rsidR="00A64163" w:rsidRPr="000F0316">
        <w:rPr>
          <w:lang w:val="en-GB"/>
        </w:rPr>
        <w:t>s</w:t>
      </w:r>
      <w:r w:rsidR="00A64163" w:rsidRPr="000F0316" w:rsidDel="00C77B4F">
        <w:rPr>
          <w:lang w:val="en-GB"/>
        </w:rPr>
        <w:t xml:space="preserve"> </w:t>
      </w:r>
      <w:r w:rsidR="00C32515" w:rsidRPr="000F0316">
        <w:rPr>
          <w:lang w:val="en-GB"/>
        </w:rPr>
        <w:t>of the Index Guideline</w:t>
      </w:r>
      <w:r w:rsidRPr="000F0316">
        <w:rPr>
          <w:lang w:val="en-GB"/>
        </w:rPr>
        <w:t xml:space="preserve"> (ordered in accordance with the numbering of the affected sections):</w:t>
      </w:r>
    </w:p>
    <w:p w14:paraId="5C114419" w14:textId="44C9DF6B" w:rsidR="00985801" w:rsidRDefault="00223777" w:rsidP="0026131F">
      <w:pPr>
        <w:spacing w:before="0" w:after="160" w:line="259" w:lineRule="auto"/>
        <w:rPr>
          <w:b/>
          <w:bCs/>
          <w:lang w:val="en-US"/>
        </w:rPr>
      </w:pPr>
      <w:r w:rsidRPr="00223777">
        <w:rPr>
          <w:b/>
          <w:bCs/>
          <w:lang w:val="en-US"/>
        </w:rPr>
        <w:t>2.2. SELECTION OF THE INDEX COMPONENTS</w:t>
      </w:r>
    </w:p>
    <w:p w14:paraId="4E714B67" w14:textId="66CE36CD" w:rsidR="00E95DEA" w:rsidRDefault="00E95DEA" w:rsidP="0026131F">
      <w:pPr>
        <w:spacing w:before="0" w:after="160" w:line="259" w:lineRule="auto"/>
        <w:rPr>
          <w:b/>
          <w:bCs/>
          <w:lang w:val="en-US"/>
        </w:rPr>
      </w:pPr>
      <w:r>
        <w:rPr>
          <w:b/>
          <w:bCs/>
          <w:lang w:val="en-US"/>
        </w:rPr>
        <w:t>From:</w:t>
      </w:r>
    </w:p>
    <w:p w14:paraId="10194B24" w14:textId="07326BD4" w:rsidR="00E95DEA" w:rsidRPr="00C369DE" w:rsidRDefault="00E95DEA" w:rsidP="0026131F">
      <w:pPr>
        <w:spacing w:before="0" w:after="160" w:line="259" w:lineRule="auto"/>
        <w:rPr>
          <w:lang w:val="en-US"/>
        </w:rPr>
      </w:pPr>
      <w:r w:rsidRPr="00C369DE">
        <w:rPr>
          <w:lang w:val="en-US"/>
        </w:rPr>
        <w:t>[…]</w:t>
      </w:r>
    </w:p>
    <w:p w14:paraId="299C20C5" w14:textId="77777777" w:rsidR="00E95DEA" w:rsidRPr="00E95DEA" w:rsidRDefault="00E95DEA" w:rsidP="00E95DEA">
      <w:pPr>
        <w:spacing w:before="0" w:after="160" w:line="259" w:lineRule="auto"/>
        <w:rPr>
          <w:lang w:val="en-US"/>
        </w:rPr>
      </w:pPr>
      <w:r w:rsidRPr="00E95DEA">
        <w:rPr>
          <w:lang w:val="en-US"/>
        </w:rPr>
        <w:lastRenderedPageBreak/>
        <w:t>2. Any company listed on the Future Protection List (the “FWPL”) produced by Legal &amp; General</w:t>
      </w:r>
    </w:p>
    <w:p w14:paraId="65A201BA" w14:textId="77777777" w:rsidR="00E95DEA" w:rsidRPr="00E95DEA" w:rsidRDefault="00E95DEA" w:rsidP="00140C19">
      <w:pPr>
        <w:spacing w:before="0" w:after="160" w:line="259" w:lineRule="auto"/>
        <w:rPr>
          <w:lang w:val="en-US"/>
        </w:rPr>
      </w:pPr>
      <w:r w:rsidRPr="00E95DEA">
        <w:rPr>
          <w:lang w:val="en-US"/>
        </w:rPr>
        <w:t>Investment Management (“LGIM”) are then excluded. The FWPL is reconstituted by LGIM on a</w:t>
      </w:r>
    </w:p>
    <w:p w14:paraId="13292672" w14:textId="77777777" w:rsidR="00E95DEA" w:rsidRPr="00E95DEA" w:rsidRDefault="00E95DEA" w:rsidP="00E95DEA">
      <w:pPr>
        <w:spacing w:before="0" w:after="160" w:line="259" w:lineRule="auto"/>
        <w:rPr>
          <w:lang w:val="en-US"/>
        </w:rPr>
      </w:pPr>
      <w:r w:rsidRPr="00E95DEA">
        <w:rPr>
          <w:lang w:val="en-US"/>
        </w:rPr>
        <w:t>semi-annual basis and the methodology by reference to which the FWPL is constructed is</w:t>
      </w:r>
    </w:p>
    <w:p w14:paraId="2CB4B024" w14:textId="77777777" w:rsidR="00E95DEA" w:rsidRPr="00E95DEA" w:rsidRDefault="00E95DEA" w:rsidP="00E95DEA">
      <w:pPr>
        <w:spacing w:before="0" w:after="160" w:line="259" w:lineRule="auto"/>
        <w:rPr>
          <w:lang w:val="en-US"/>
        </w:rPr>
      </w:pPr>
      <w:r w:rsidRPr="00E95DEA">
        <w:rPr>
          <w:lang w:val="en-US"/>
        </w:rPr>
        <w:t>published on Future World Protection List Methodology. The most recently published FWPL</w:t>
      </w:r>
    </w:p>
    <w:p w14:paraId="79D87B22" w14:textId="79401332" w:rsidR="00E95DEA" w:rsidRDefault="00E95DEA" w:rsidP="00E95DEA">
      <w:pPr>
        <w:spacing w:before="0" w:after="160" w:line="259" w:lineRule="auto"/>
        <w:rPr>
          <w:lang w:val="en-US"/>
        </w:rPr>
      </w:pPr>
      <w:r w:rsidRPr="00E95DEA">
        <w:rPr>
          <w:lang w:val="en-US"/>
        </w:rPr>
        <w:t>that is available on a respective SELECTION DAY is used.</w:t>
      </w:r>
    </w:p>
    <w:p w14:paraId="2A2D6990" w14:textId="77777777" w:rsidR="0022476E" w:rsidRDefault="0022476E" w:rsidP="00E95DEA">
      <w:pPr>
        <w:spacing w:before="0" w:after="160" w:line="259" w:lineRule="auto"/>
        <w:rPr>
          <w:lang w:val="en-US"/>
        </w:rPr>
      </w:pPr>
    </w:p>
    <w:p w14:paraId="61BF4763" w14:textId="77777777" w:rsidR="00BC609D" w:rsidRPr="00BC609D" w:rsidRDefault="00BC609D" w:rsidP="00BC609D">
      <w:pPr>
        <w:spacing w:before="0" w:after="160" w:line="259" w:lineRule="auto"/>
        <w:rPr>
          <w:lang w:val="en-US"/>
        </w:rPr>
      </w:pPr>
      <w:r w:rsidRPr="00BC609D">
        <w:rPr>
          <w:lang w:val="en-US"/>
        </w:rPr>
        <w:t>3. The securities that are eligible for inclusion in the INDEX (the “Eligible Securities”) are selected</w:t>
      </w:r>
    </w:p>
    <w:p w14:paraId="0211D475" w14:textId="3BB39BAF" w:rsidR="00BC609D" w:rsidRDefault="00BC609D" w:rsidP="00BC609D">
      <w:pPr>
        <w:spacing w:before="0" w:after="160" w:line="259" w:lineRule="auto"/>
        <w:rPr>
          <w:lang w:val="en-US"/>
        </w:rPr>
      </w:pPr>
      <w:r w:rsidRPr="00BC609D">
        <w:rPr>
          <w:lang w:val="en-US"/>
        </w:rPr>
        <w:t>from the INDEX UNIVERSE in the following manner:</w:t>
      </w:r>
    </w:p>
    <w:p w14:paraId="0110332C" w14:textId="77777777" w:rsidR="00BC609D" w:rsidRPr="00BC609D" w:rsidRDefault="00BC609D" w:rsidP="0022476E">
      <w:pPr>
        <w:spacing w:before="0" w:after="160" w:line="259" w:lineRule="auto"/>
        <w:rPr>
          <w:lang w:val="en-US"/>
        </w:rPr>
      </w:pPr>
      <w:r w:rsidRPr="00BC609D">
        <w:rPr>
          <w:lang w:val="en-US"/>
        </w:rPr>
        <w:t>A. it has its primary listing on an ELIGIBLE EXCHANGE.</w:t>
      </w:r>
    </w:p>
    <w:p w14:paraId="6587C7F8" w14:textId="77777777" w:rsidR="00BC609D" w:rsidRPr="00BC609D" w:rsidRDefault="00BC609D" w:rsidP="00BC609D">
      <w:pPr>
        <w:spacing w:before="0" w:after="160" w:line="259" w:lineRule="auto"/>
        <w:rPr>
          <w:lang w:val="en-US"/>
        </w:rPr>
      </w:pPr>
      <w:r w:rsidRPr="00BC609D">
        <w:rPr>
          <w:lang w:val="en-US"/>
        </w:rPr>
        <w:t>B. the FactSet Economy Level for such Security is not classified as ‘Energy’ or ‘Finance’.</w:t>
      </w:r>
    </w:p>
    <w:p w14:paraId="250F73A5" w14:textId="77777777" w:rsidR="00BC609D" w:rsidRPr="00BC609D" w:rsidRDefault="00BC609D" w:rsidP="00BC609D">
      <w:pPr>
        <w:spacing w:before="0" w:after="160" w:line="259" w:lineRule="auto"/>
        <w:rPr>
          <w:lang w:val="en-US"/>
        </w:rPr>
      </w:pPr>
      <w:r w:rsidRPr="00BC609D">
        <w:rPr>
          <w:lang w:val="en-US"/>
        </w:rPr>
        <w:t>C. the Country of Domicile for such Security is neither China nor Hong Kong.</w:t>
      </w:r>
    </w:p>
    <w:p w14:paraId="5CD43FA8" w14:textId="77777777" w:rsidR="00BC609D" w:rsidRPr="00BC609D" w:rsidRDefault="00BC609D" w:rsidP="00BC609D">
      <w:pPr>
        <w:spacing w:before="0" w:after="160" w:line="259" w:lineRule="auto"/>
        <w:rPr>
          <w:lang w:val="en-US"/>
        </w:rPr>
      </w:pPr>
      <w:r w:rsidRPr="00BC609D">
        <w:rPr>
          <w:lang w:val="en-US"/>
        </w:rPr>
        <w:t>D. it has, as of the SELECTION DAY, a FREE FLOAT MARKET CAPITALIZATION of at least USD 200</w:t>
      </w:r>
    </w:p>
    <w:p w14:paraId="559AEB25" w14:textId="77777777" w:rsidR="00BC609D" w:rsidRPr="00BC609D" w:rsidRDefault="00BC609D" w:rsidP="00BC609D">
      <w:pPr>
        <w:spacing w:before="0" w:after="160" w:line="259" w:lineRule="auto"/>
        <w:rPr>
          <w:lang w:val="en-US"/>
        </w:rPr>
      </w:pPr>
      <w:r w:rsidRPr="00BC609D">
        <w:rPr>
          <w:lang w:val="en-US"/>
        </w:rPr>
        <w:t>million, unless such Security is an existing INDEX COMPONENT, in which case, the FREE FLOAT</w:t>
      </w:r>
    </w:p>
    <w:p w14:paraId="333BBF7C" w14:textId="77777777" w:rsidR="00BC609D" w:rsidRPr="00BC609D" w:rsidRDefault="00BC609D" w:rsidP="00BC609D">
      <w:pPr>
        <w:spacing w:before="0" w:after="160" w:line="259" w:lineRule="auto"/>
        <w:rPr>
          <w:lang w:val="en-US"/>
        </w:rPr>
      </w:pPr>
      <w:r w:rsidRPr="00BC609D">
        <w:rPr>
          <w:lang w:val="en-US"/>
        </w:rPr>
        <w:t>MARKET CAPITALIZATION must be at least USD 150 million.</w:t>
      </w:r>
    </w:p>
    <w:p w14:paraId="162DD81C" w14:textId="77777777" w:rsidR="00BC609D" w:rsidRPr="00BC609D" w:rsidRDefault="00BC609D" w:rsidP="00BC609D">
      <w:pPr>
        <w:spacing w:before="0" w:after="160" w:line="259" w:lineRule="auto"/>
        <w:rPr>
          <w:lang w:val="en-US"/>
        </w:rPr>
      </w:pPr>
      <w:r w:rsidRPr="00BC609D">
        <w:rPr>
          <w:lang w:val="en-US"/>
        </w:rPr>
        <w:t>E. its three month AVERAGE DAILY VALUE TRADED, until and including the SELECTION DAY, is at</w:t>
      </w:r>
    </w:p>
    <w:p w14:paraId="77C85866" w14:textId="77777777" w:rsidR="00BC609D" w:rsidRPr="00BC609D" w:rsidRDefault="00BC609D" w:rsidP="00BC609D">
      <w:pPr>
        <w:spacing w:before="0" w:after="160" w:line="259" w:lineRule="auto"/>
        <w:rPr>
          <w:lang w:val="en-US"/>
        </w:rPr>
      </w:pPr>
      <w:r w:rsidRPr="00BC609D">
        <w:rPr>
          <w:lang w:val="en-US"/>
        </w:rPr>
        <w:t>least USD 1,000,000.</w:t>
      </w:r>
    </w:p>
    <w:p w14:paraId="5BF44407" w14:textId="77777777" w:rsidR="00BC609D" w:rsidRPr="00BC609D" w:rsidRDefault="00BC609D" w:rsidP="00BC609D">
      <w:pPr>
        <w:spacing w:before="0" w:after="160" w:line="259" w:lineRule="auto"/>
        <w:rPr>
          <w:lang w:val="en-US"/>
        </w:rPr>
      </w:pPr>
      <w:r w:rsidRPr="00BC609D">
        <w:rPr>
          <w:lang w:val="en-US"/>
        </w:rPr>
        <w:t>F. the NUMBER OF TENDERS is greater than one.</w:t>
      </w:r>
    </w:p>
    <w:p w14:paraId="3AF0B260" w14:textId="3D9F7804" w:rsidR="000D59D5" w:rsidRDefault="00BC609D" w:rsidP="00BC609D">
      <w:pPr>
        <w:spacing w:before="0" w:after="160" w:line="259" w:lineRule="auto"/>
        <w:rPr>
          <w:lang w:val="en-US"/>
        </w:rPr>
      </w:pPr>
      <w:r w:rsidRPr="00BC609D">
        <w:rPr>
          <w:lang w:val="en-US"/>
        </w:rPr>
        <w:t>G. its TECHNOLOGY is any of wind, solar, ocean power, hydro, biopower and/or geothermal.</w:t>
      </w:r>
    </w:p>
    <w:p w14:paraId="29CC0F1D" w14:textId="77777777" w:rsidR="000D59D5" w:rsidRDefault="000D59D5" w:rsidP="00BC609D">
      <w:pPr>
        <w:spacing w:before="0" w:after="160" w:line="259" w:lineRule="auto"/>
        <w:rPr>
          <w:lang w:val="en-US"/>
        </w:rPr>
      </w:pPr>
    </w:p>
    <w:p w14:paraId="302F7292" w14:textId="161D6BB9" w:rsidR="007B77D1" w:rsidRPr="00723574" w:rsidRDefault="007B77D1" w:rsidP="00723574">
      <w:pPr>
        <w:pStyle w:val="ListParagraph"/>
        <w:numPr>
          <w:ilvl w:val="0"/>
          <w:numId w:val="28"/>
        </w:numPr>
        <w:rPr>
          <w:lang w:val="en-US" w:eastAsia="en-US"/>
        </w:rPr>
      </w:pPr>
      <w:r w:rsidRPr="00723574">
        <w:rPr>
          <w:lang w:val="en-US" w:eastAsia="en-US"/>
        </w:rPr>
        <w:t xml:space="preserve">On each </w:t>
      </w:r>
      <w:r w:rsidRPr="00723574">
        <w:rPr>
          <w:smallCaps/>
          <w:lang w:val="en-US" w:eastAsia="en-US"/>
        </w:rPr>
        <w:t>Selection Day</w:t>
      </w:r>
      <w:r w:rsidRPr="00723574">
        <w:rPr>
          <w:lang w:val="en-US" w:eastAsia="en-US"/>
        </w:rPr>
        <w:t xml:space="preserve">, each Eligible Security shall be deemed to be an </w:t>
      </w:r>
      <w:r w:rsidRPr="00723574">
        <w:rPr>
          <w:smallCaps/>
          <w:lang w:val="en-US" w:eastAsia="en-US"/>
        </w:rPr>
        <w:t>Index Component</w:t>
      </w:r>
      <w:r w:rsidRPr="00723574">
        <w:rPr>
          <w:lang w:val="en-US" w:eastAsia="en-US"/>
        </w:rPr>
        <w:t>, if in respect of such Eligible Security, any of the following conditions 4.A or 4.B is fulfilled.</w:t>
      </w:r>
    </w:p>
    <w:p w14:paraId="274B21CF" w14:textId="77777777" w:rsidR="007B77D1" w:rsidRDefault="007B77D1" w:rsidP="007B77D1">
      <w:pPr>
        <w:pStyle w:val="ListParagraph"/>
        <w:numPr>
          <w:ilvl w:val="1"/>
          <w:numId w:val="23"/>
        </w:numPr>
        <w:rPr>
          <w:lang w:val="en-US" w:eastAsia="en-US"/>
        </w:rPr>
      </w:pPr>
      <w:r w:rsidRPr="006E7470">
        <w:rPr>
          <w:lang w:val="en-US" w:eastAsia="en-US"/>
        </w:rPr>
        <w:t xml:space="preserve">In respect of each Eligible Security that is not classified as </w:t>
      </w:r>
      <w:r w:rsidRPr="00ED6A2E">
        <w:rPr>
          <w:smallCaps/>
          <w:lang w:val="en-US" w:eastAsia="en-US"/>
        </w:rPr>
        <w:t>Utilities</w:t>
      </w:r>
      <w:r w:rsidRPr="006E7470">
        <w:rPr>
          <w:lang w:val="en-US" w:eastAsia="en-US"/>
        </w:rPr>
        <w:t xml:space="preserve"> or </w:t>
      </w:r>
      <w:r w:rsidRPr="00ED6A2E">
        <w:rPr>
          <w:smallCaps/>
          <w:lang w:val="en-US" w:eastAsia="en-US"/>
        </w:rPr>
        <w:t>Thermal</w:t>
      </w:r>
      <w:r w:rsidRPr="006E7470">
        <w:rPr>
          <w:lang w:val="en-US" w:eastAsia="en-US"/>
        </w:rPr>
        <w:t>:</w:t>
      </w:r>
    </w:p>
    <w:p w14:paraId="085CC2B7" w14:textId="77777777" w:rsidR="007B77D1" w:rsidRDefault="007B77D1" w:rsidP="007B77D1">
      <w:pPr>
        <w:pStyle w:val="ListParagraph"/>
        <w:numPr>
          <w:ilvl w:val="2"/>
          <w:numId w:val="23"/>
        </w:numPr>
        <w:rPr>
          <w:lang w:val="en-US" w:eastAsia="en-US"/>
        </w:rPr>
      </w:pPr>
      <w:r w:rsidRPr="00D2315E">
        <w:rPr>
          <w:lang w:val="en-US" w:eastAsia="en-US"/>
        </w:rPr>
        <w:t xml:space="preserve">the company is a </w:t>
      </w:r>
      <w:r w:rsidRPr="00625EE0">
        <w:rPr>
          <w:smallCaps/>
          <w:lang w:val="en-US" w:eastAsia="en-US"/>
        </w:rPr>
        <w:t>Component Supplier</w:t>
      </w:r>
      <w:r w:rsidRPr="00D2315E">
        <w:rPr>
          <w:lang w:val="en-US" w:eastAsia="en-US"/>
        </w:rPr>
        <w:t xml:space="preserve"> but is not</w:t>
      </w:r>
      <w:r>
        <w:rPr>
          <w:lang w:val="en-US" w:eastAsia="en-US"/>
        </w:rPr>
        <w:t xml:space="preserve"> a</w:t>
      </w:r>
      <w:r w:rsidRPr="00D2315E">
        <w:rPr>
          <w:lang w:val="en-US" w:eastAsia="en-US"/>
        </w:rPr>
        <w:t xml:space="preserve"> T&amp;D Company, Semiconductor Company, Foundation Construction Company or Pure EPC Provider;</w:t>
      </w:r>
    </w:p>
    <w:p w14:paraId="69A6A904" w14:textId="77777777" w:rsidR="007B77D1" w:rsidRPr="00D2315E" w:rsidRDefault="007B77D1" w:rsidP="007B77D1">
      <w:pPr>
        <w:pStyle w:val="ListParagraph"/>
        <w:ind w:left="2160"/>
        <w:rPr>
          <w:lang w:val="en-US" w:eastAsia="en-US"/>
        </w:rPr>
      </w:pPr>
      <w:r>
        <w:rPr>
          <w:lang w:val="en-US" w:eastAsia="en-US"/>
        </w:rPr>
        <w:t>OR</w:t>
      </w:r>
    </w:p>
    <w:p w14:paraId="39AEE3AF" w14:textId="77777777" w:rsidR="007B77D1" w:rsidRDefault="007B77D1" w:rsidP="007B77D1">
      <w:pPr>
        <w:pStyle w:val="ListParagraph"/>
        <w:numPr>
          <w:ilvl w:val="2"/>
          <w:numId w:val="23"/>
        </w:numPr>
        <w:rPr>
          <w:lang w:val="en-US" w:eastAsia="en-US"/>
        </w:rPr>
      </w:pPr>
      <w:r w:rsidRPr="00D2315E">
        <w:rPr>
          <w:lang w:val="en-US" w:eastAsia="en-US"/>
        </w:rPr>
        <w:t xml:space="preserve">the company is a </w:t>
      </w:r>
      <w:r w:rsidRPr="00D50F76">
        <w:rPr>
          <w:smallCaps/>
          <w:lang w:val="en-US" w:eastAsia="en-US"/>
        </w:rPr>
        <w:t>Wind OEM</w:t>
      </w:r>
      <w:r w:rsidRPr="00D2315E">
        <w:rPr>
          <w:lang w:val="en-US" w:eastAsia="en-US"/>
        </w:rPr>
        <w:t xml:space="preserve"> and,</w:t>
      </w:r>
    </w:p>
    <w:p w14:paraId="05617344" w14:textId="77777777" w:rsidR="007B77D1" w:rsidRPr="00D2315E" w:rsidRDefault="007B77D1" w:rsidP="007B77D1">
      <w:pPr>
        <w:pStyle w:val="ListParagraph"/>
        <w:numPr>
          <w:ilvl w:val="3"/>
          <w:numId w:val="23"/>
        </w:numPr>
        <w:rPr>
          <w:lang w:val="en-US" w:eastAsia="en-US"/>
        </w:rPr>
      </w:pPr>
      <w:r w:rsidRPr="00D2315E">
        <w:rPr>
          <w:lang w:val="en-US" w:eastAsia="en-US"/>
        </w:rPr>
        <w:t xml:space="preserve">its </w:t>
      </w:r>
      <w:r w:rsidRPr="00625EE0">
        <w:rPr>
          <w:smallCaps/>
          <w:lang w:val="en-US" w:eastAsia="en-US"/>
        </w:rPr>
        <w:t>Cumulative Capacity</w:t>
      </w:r>
      <w:r w:rsidRPr="00D2315E">
        <w:rPr>
          <w:lang w:val="en-US" w:eastAsia="en-US"/>
        </w:rPr>
        <w:t xml:space="preserve"> ranks within the top 50th percentile of those companies with </w:t>
      </w:r>
      <w:r w:rsidRPr="00625EE0">
        <w:rPr>
          <w:smallCaps/>
          <w:lang w:val="en-US" w:eastAsia="en-US"/>
        </w:rPr>
        <w:t>Cumulative Capacity</w:t>
      </w:r>
      <w:r w:rsidRPr="00D2315E">
        <w:rPr>
          <w:lang w:val="en-US" w:eastAsia="en-US"/>
        </w:rPr>
        <w:t xml:space="preserve"> greater than zero; unless such </w:t>
      </w:r>
      <w:r w:rsidRPr="00D2315E">
        <w:rPr>
          <w:lang w:val="en-US" w:eastAsia="en-US"/>
        </w:rPr>
        <w:lastRenderedPageBreak/>
        <w:t xml:space="preserve">company is an existing </w:t>
      </w:r>
      <w:r w:rsidRPr="00625EE0">
        <w:rPr>
          <w:smallCaps/>
          <w:lang w:val="en-US" w:eastAsia="en-US"/>
        </w:rPr>
        <w:t>Index Component</w:t>
      </w:r>
      <w:r w:rsidRPr="00D2315E">
        <w:rPr>
          <w:lang w:val="en-US" w:eastAsia="en-US"/>
        </w:rPr>
        <w:t xml:space="preserve"> in which case it shall rank within the top 60</w:t>
      </w:r>
      <w:r>
        <w:rPr>
          <w:lang w:val="en-US" w:eastAsia="en-US"/>
        </w:rPr>
        <w:t xml:space="preserve"> per cent</w:t>
      </w:r>
      <w:r w:rsidRPr="00D2315E">
        <w:rPr>
          <w:lang w:val="en-US" w:eastAsia="en-US"/>
        </w:rPr>
        <w:t>;</w:t>
      </w:r>
    </w:p>
    <w:p w14:paraId="068F9E25" w14:textId="77777777" w:rsidR="007B77D1" w:rsidRDefault="007B77D1" w:rsidP="007B77D1">
      <w:pPr>
        <w:pStyle w:val="ListParagraph"/>
        <w:ind w:left="2160"/>
        <w:rPr>
          <w:lang w:val="en-US" w:eastAsia="en-US"/>
        </w:rPr>
      </w:pPr>
      <w:r>
        <w:rPr>
          <w:lang w:val="en-US" w:eastAsia="en-US"/>
        </w:rPr>
        <w:t>OR</w:t>
      </w:r>
    </w:p>
    <w:p w14:paraId="4EB2ABE3" w14:textId="77777777" w:rsidR="007B77D1" w:rsidRDefault="007B77D1" w:rsidP="007B77D1">
      <w:pPr>
        <w:pStyle w:val="ListParagraph"/>
        <w:numPr>
          <w:ilvl w:val="2"/>
          <w:numId w:val="23"/>
        </w:numPr>
        <w:rPr>
          <w:lang w:val="en-US" w:eastAsia="en-US"/>
        </w:rPr>
      </w:pPr>
      <w:r w:rsidRPr="00D2315E">
        <w:rPr>
          <w:lang w:val="en-US" w:eastAsia="en-US"/>
        </w:rPr>
        <w:t xml:space="preserve">the company is a </w:t>
      </w:r>
      <w:r w:rsidRPr="00D50F76">
        <w:rPr>
          <w:smallCaps/>
          <w:lang w:val="en-US" w:eastAsia="en-US"/>
        </w:rPr>
        <w:t>Solar OEM</w:t>
      </w:r>
      <w:r w:rsidRPr="00D2315E">
        <w:rPr>
          <w:lang w:val="en-US" w:eastAsia="en-US"/>
        </w:rPr>
        <w:t xml:space="preserve"> and,</w:t>
      </w:r>
    </w:p>
    <w:p w14:paraId="3778F104" w14:textId="77777777" w:rsidR="007B77D1" w:rsidRPr="003628B1" w:rsidRDefault="007B77D1" w:rsidP="007B77D1">
      <w:pPr>
        <w:pStyle w:val="ListParagraph"/>
        <w:numPr>
          <w:ilvl w:val="3"/>
          <w:numId w:val="23"/>
        </w:numPr>
        <w:rPr>
          <w:lang w:val="en-US" w:eastAsia="en-US"/>
        </w:rPr>
      </w:pPr>
      <w:r w:rsidRPr="00D2315E">
        <w:rPr>
          <w:lang w:val="en-US" w:eastAsia="en-US"/>
        </w:rPr>
        <w:t xml:space="preserve">its </w:t>
      </w:r>
      <w:r w:rsidRPr="00625EE0">
        <w:rPr>
          <w:smallCaps/>
          <w:lang w:val="en-US" w:eastAsia="en-US"/>
        </w:rPr>
        <w:t>Cumulative Capacity</w:t>
      </w:r>
      <w:r w:rsidRPr="00D2315E">
        <w:rPr>
          <w:lang w:val="en-US" w:eastAsia="en-US"/>
        </w:rPr>
        <w:t xml:space="preserve"> ranks within the top 50th percentile of those companies with </w:t>
      </w:r>
      <w:r w:rsidRPr="00625EE0">
        <w:rPr>
          <w:smallCaps/>
          <w:lang w:val="en-US" w:eastAsia="en-US"/>
        </w:rPr>
        <w:t>Cumulative Capacity</w:t>
      </w:r>
      <w:r w:rsidRPr="00D2315E">
        <w:rPr>
          <w:lang w:val="en-US" w:eastAsia="en-US"/>
        </w:rPr>
        <w:t xml:space="preserve"> greater than zero; unless such company is an existing </w:t>
      </w:r>
      <w:r w:rsidRPr="00625EE0">
        <w:rPr>
          <w:smallCaps/>
          <w:lang w:val="en-US" w:eastAsia="en-US"/>
        </w:rPr>
        <w:t>Index Component</w:t>
      </w:r>
      <w:r w:rsidRPr="00D2315E">
        <w:rPr>
          <w:lang w:val="en-US" w:eastAsia="en-US"/>
        </w:rPr>
        <w:t xml:space="preserve"> in which case it shall rank within the top 60</w:t>
      </w:r>
      <w:r>
        <w:rPr>
          <w:lang w:val="en-US" w:eastAsia="en-US"/>
        </w:rPr>
        <w:t xml:space="preserve"> per cent</w:t>
      </w:r>
      <w:r w:rsidRPr="00D2315E">
        <w:rPr>
          <w:lang w:val="en-US" w:eastAsia="en-US"/>
        </w:rPr>
        <w:t>;</w:t>
      </w:r>
    </w:p>
    <w:p w14:paraId="35C30038" w14:textId="77777777" w:rsidR="007B77D1" w:rsidRDefault="007B77D1" w:rsidP="007B77D1">
      <w:pPr>
        <w:pStyle w:val="ListParagraph"/>
        <w:ind w:left="2124"/>
        <w:rPr>
          <w:lang w:val="en-US" w:eastAsia="en-US"/>
        </w:rPr>
      </w:pPr>
      <w:r>
        <w:rPr>
          <w:lang w:val="en-US" w:eastAsia="en-US"/>
        </w:rPr>
        <w:t xml:space="preserve">Further, for the purposes of steps (ii) and (iii) above, if the company is both, a </w:t>
      </w:r>
      <w:r w:rsidRPr="00D50F76">
        <w:rPr>
          <w:smallCaps/>
          <w:lang w:val="en-US" w:eastAsia="en-US"/>
        </w:rPr>
        <w:t>Wind OEM</w:t>
      </w:r>
      <w:r>
        <w:rPr>
          <w:lang w:val="en-US" w:eastAsia="en-US"/>
        </w:rPr>
        <w:t xml:space="preserve"> and </w:t>
      </w:r>
      <w:r w:rsidRPr="00D50F76">
        <w:rPr>
          <w:smallCaps/>
          <w:lang w:val="en-US" w:eastAsia="en-US"/>
        </w:rPr>
        <w:t>Solar OEM</w:t>
      </w:r>
      <w:r>
        <w:rPr>
          <w:lang w:val="en-US" w:eastAsia="en-US"/>
        </w:rPr>
        <w:t xml:space="preserve">, it shall be treated as a </w:t>
      </w:r>
      <w:r w:rsidRPr="00D50F76">
        <w:rPr>
          <w:smallCaps/>
          <w:lang w:val="en-US" w:eastAsia="en-US"/>
        </w:rPr>
        <w:t>Wind OEM</w:t>
      </w:r>
      <w:r>
        <w:rPr>
          <w:lang w:val="en-US" w:eastAsia="en-US"/>
        </w:rPr>
        <w:t xml:space="preserve"> if the wind capacity contribution towards the </w:t>
      </w:r>
      <w:r w:rsidRPr="00625EE0">
        <w:rPr>
          <w:smallCaps/>
          <w:lang w:val="en-US" w:eastAsia="en-US"/>
        </w:rPr>
        <w:t>Cumulative Capacity</w:t>
      </w:r>
      <w:r>
        <w:rPr>
          <w:lang w:val="en-US" w:eastAsia="en-US"/>
        </w:rPr>
        <w:t xml:space="preserve"> is greater than the solar capacity contribution. Otherwise, it will be treated as a </w:t>
      </w:r>
      <w:r w:rsidRPr="00D50F76">
        <w:rPr>
          <w:smallCaps/>
          <w:lang w:val="en-US" w:eastAsia="en-US"/>
        </w:rPr>
        <w:t>Solar OEM</w:t>
      </w:r>
      <w:r>
        <w:rPr>
          <w:lang w:val="en-US" w:eastAsia="en-US"/>
        </w:rPr>
        <w:t>.</w:t>
      </w:r>
    </w:p>
    <w:p w14:paraId="14EC2F0D" w14:textId="77777777" w:rsidR="007B77D1" w:rsidRPr="003628B1" w:rsidRDefault="007B77D1" w:rsidP="007B77D1">
      <w:pPr>
        <w:pStyle w:val="ListParagraph"/>
        <w:ind w:left="1440"/>
        <w:rPr>
          <w:lang w:val="en-US" w:eastAsia="en-US"/>
        </w:rPr>
      </w:pPr>
      <w:r>
        <w:rPr>
          <w:lang w:val="en-US" w:eastAsia="en-US"/>
        </w:rPr>
        <w:t>OR</w:t>
      </w:r>
    </w:p>
    <w:p w14:paraId="43D5BCDF" w14:textId="77777777" w:rsidR="007B77D1" w:rsidRDefault="007B77D1" w:rsidP="007B77D1">
      <w:pPr>
        <w:pStyle w:val="ListParagraph"/>
        <w:numPr>
          <w:ilvl w:val="1"/>
          <w:numId w:val="23"/>
        </w:numPr>
        <w:rPr>
          <w:lang w:val="en-US" w:eastAsia="en-US"/>
        </w:rPr>
      </w:pPr>
      <w:r w:rsidRPr="00D2315E">
        <w:rPr>
          <w:lang w:val="en-US" w:eastAsia="en-US"/>
        </w:rPr>
        <w:t xml:space="preserve">In respect of each Eligible Security that is not </w:t>
      </w:r>
      <w:r>
        <w:rPr>
          <w:lang w:val="en-US" w:eastAsia="en-US"/>
        </w:rPr>
        <w:t xml:space="preserve">a </w:t>
      </w:r>
      <w:r w:rsidRPr="00D50F76">
        <w:rPr>
          <w:smallCaps/>
          <w:lang w:val="en-US" w:eastAsia="en-US"/>
        </w:rPr>
        <w:t>Wind OEM</w:t>
      </w:r>
      <w:r w:rsidRPr="00D2315E">
        <w:rPr>
          <w:lang w:val="en-US" w:eastAsia="en-US"/>
        </w:rPr>
        <w:t xml:space="preserve">, </w:t>
      </w:r>
      <w:r w:rsidRPr="00D50F76">
        <w:rPr>
          <w:smallCaps/>
          <w:lang w:val="en-US" w:eastAsia="en-US"/>
        </w:rPr>
        <w:t>Solar OEM</w:t>
      </w:r>
      <w:r w:rsidRPr="00D2315E">
        <w:rPr>
          <w:lang w:val="en-US" w:eastAsia="en-US"/>
        </w:rPr>
        <w:t xml:space="preserve">, </w:t>
      </w:r>
      <w:r w:rsidRPr="00D50F76">
        <w:rPr>
          <w:smallCaps/>
          <w:lang w:val="en-US" w:eastAsia="en-US"/>
        </w:rPr>
        <w:t>T&amp;D Company</w:t>
      </w:r>
      <w:r w:rsidRPr="00D2315E">
        <w:rPr>
          <w:lang w:val="en-US" w:eastAsia="en-US"/>
        </w:rPr>
        <w:t xml:space="preserve">, </w:t>
      </w:r>
      <w:r w:rsidRPr="00D50F76">
        <w:rPr>
          <w:smallCaps/>
          <w:lang w:val="en-US" w:eastAsia="en-US"/>
        </w:rPr>
        <w:t>Semiconductor Company</w:t>
      </w:r>
      <w:r w:rsidRPr="00D2315E">
        <w:rPr>
          <w:lang w:val="en-US" w:eastAsia="en-US"/>
        </w:rPr>
        <w:t xml:space="preserve"> or </w:t>
      </w:r>
      <w:r w:rsidRPr="00D50F76">
        <w:rPr>
          <w:smallCaps/>
          <w:lang w:val="en-US" w:eastAsia="en-US"/>
        </w:rPr>
        <w:t>Pure EPC Provider</w:t>
      </w:r>
      <w:r w:rsidRPr="00D2315E">
        <w:rPr>
          <w:lang w:val="en-US" w:eastAsia="en-US"/>
        </w:rPr>
        <w:t>:</w:t>
      </w:r>
    </w:p>
    <w:p w14:paraId="235F5612" w14:textId="77777777" w:rsidR="00BC609D" w:rsidRPr="00BC609D" w:rsidRDefault="00BC609D" w:rsidP="00BC609D">
      <w:pPr>
        <w:spacing w:before="0" w:after="160" w:line="259" w:lineRule="auto"/>
        <w:rPr>
          <w:lang w:val="en-US"/>
        </w:rPr>
      </w:pPr>
    </w:p>
    <w:p w14:paraId="11300313" w14:textId="77777777" w:rsidR="00140C19" w:rsidRDefault="00140C19" w:rsidP="00140C19">
      <w:pPr>
        <w:spacing w:before="0" w:after="160" w:line="259" w:lineRule="auto"/>
        <w:rPr>
          <w:lang w:val="en-US"/>
        </w:rPr>
      </w:pPr>
      <w:r>
        <w:rPr>
          <w:lang w:val="en-US"/>
        </w:rPr>
        <w:t>[…]</w:t>
      </w:r>
      <w:r w:rsidRPr="008A6406">
        <w:rPr>
          <w:lang w:val="en-US"/>
        </w:rPr>
        <w:cr/>
      </w:r>
    </w:p>
    <w:p w14:paraId="77AF1432" w14:textId="0504769C" w:rsidR="00E95DEA" w:rsidRDefault="00E95DEA" w:rsidP="00E95DEA">
      <w:pPr>
        <w:spacing w:before="0" w:after="160" w:line="259" w:lineRule="auto"/>
        <w:rPr>
          <w:b/>
          <w:bCs/>
          <w:lang w:val="en-US"/>
        </w:rPr>
      </w:pPr>
      <w:r w:rsidRPr="00E95DEA">
        <w:rPr>
          <w:b/>
          <w:bCs/>
          <w:lang w:val="en-US"/>
        </w:rPr>
        <w:t>To:</w:t>
      </w:r>
    </w:p>
    <w:p w14:paraId="1746FBD1" w14:textId="3B3CA0FD" w:rsidR="00E95DEA" w:rsidRPr="00E95DEA" w:rsidRDefault="00E95DEA" w:rsidP="00E95DEA">
      <w:pPr>
        <w:spacing w:before="0" w:after="160" w:line="259" w:lineRule="auto"/>
        <w:rPr>
          <w:lang w:val="en-US"/>
        </w:rPr>
      </w:pPr>
      <w:r w:rsidRPr="00E95DEA">
        <w:rPr>
          <w:lang w:val="en-US"/>
        </w:rPr>
        <w:t>[..]</w:t>
      </w:r>
    </w:p>
    <w:p w14:paraId="6414CD00" w14:textId="36AF5E7E" w:rsidR="00E95DEA" w:rsidRPr="000D59D5" w:rsidRDefault="000D59D5" w:rsidP="000D59D5">
      <w:pPr>
        <w:spacing w:before="0" w:after="160" w:line="259" w:lineRule="auto"/>
        <w:rPr>
          <w:lang w:val="en-US"/>
        </w:rPr>
      </w:pPr>
      <w:r w:rsidRPr="000D59D5">
        <w:rPr>
          <w:lang w:val="en-US"/>
        </w:rPr>
        <w:t>2.</w:t>
      </w:r>
      <w:r>
        <w:rPr>
          <w:lang w:val="en-US"/>
        </w:rPr>
        <w:t xml:space="preserve"> </w:t>
      </w:r>
      <w:r w:rsidR="00E95DEA" w:rsidRPr="000D59D5">
        <w:rPr>
          <w:lang w:val="en-US"/>
        </w:rPr>
        <w:t>On each SELECTION DAY, any company included in the ESG EXCLUSIONS INDEX as determined by SOLACTIVE is then excluded from the INDEX UNIVERSE.</w:t>
      </w:r>
    </w:p>
    <w:p w14:paraId="0D0962E1" w14:textId="77777777" w:rsidR="00E95DEA" w:rsidRPr="00E95DEA" w:rsidRDefault="00E95DEA" w:rsidP="00E95DEA">
      <w:pPr>
        <w:spacing w:before="0" w:after="160" w:line="259" w:lineRule="auto"/>
        <w:rPr>
          <w:lang w:val="en-US"/>
        </w:rPr>
      </w:pPr>
      <w:r w:rsidRPr="00E95DEA">
        <w:rPr>
          <w:lang w:val="en-US"/>
        </w:rPr>
        <w:t>The methodology by reference to which the ESG EXCLUSIONS INDEX is constructed, together with the most recent applicable categories and inclusion criteria, is available on the SOLACTIVE website: https://solactive.com/downloads/Guideline-Solactive-ESG-Exclusions-Index.pdf</w:t>
      </w:r>
    </w:p>
    <w:p w14:paraId="22E4E07E" w14:textId="1D63FEB9" w:rsidR="00E95DEA" w:rsidRDefault="00E95DEA" w:rsidP="00E95DEA">
      <w:pPr>
        <w:spacing w:before="0" w:after="160" w:line="259" w:lineRule="auto"/>
        <w:rPr>
          <w:lang w:val="en-US"/>
        </w:rPr>
      </w:pPr>
      <w:r w:rsidRPr="00E95DEA">
        <w:rPr>
          <w:lang w:val="en-US"/>
        </w:rPr>
        <w:t>The applicable categories and inclusion criteria of the ESG EXCLUSIONS INDEX as of May 2022 are set out in Annex B of this document.</w:t>
      </w:r>
    </w:p>
    <w:p w14:paraId="202FCF3C" w14:textId="77777777" w:rsidR="000D59D5" w:rsidRDefault="000D59D5" w:rsidP="00E95DEA">
      <w:pPr>
        <w:spacing w:before="0" w:after="160" w:line="259" w:lineRule="auto"/>
        <w:rPr>
          <w:lang w:val="en-US"/>
        </w:rPr>
      </w:pPr>
    </w:p>
    <w:p w14:paraId="72252250" w14:textId="3271E609" w:rsidR="00F92614" w:rsidRPr="00F92614" w:rsidRDefault="00F92614" w:rsidP="00F92614">
      <w:pPr>
        <w:spacing w:before="0" w:after="160" w:line="259" w:lineRule="auto"/>
        <w:rPr>
          <w:lang w:val="en-US"/>
        </w:rPr>
      </w:pPr>
      <w:r w:rsidRPr="00F92614">
        <w:rPr>
          <w:lang w:val="en-US"/>
        </w:rPr>
        <w:t>3.</w:t>
      </w:r>
      <w:r>
        <w:rPr>
          <w:lang w:val="en-US"/>
        </w:rPr>
        <w:t xml:space="preserve"> </w:t>
      </w:r>
      <w:r w:rsidRPr="00F92614">
        <w:rPr>
          <w:lang w:val="en-US"/>
        </w:rPr>
        <w:t>The securities that are eligible for inclusion in the INDEX (the “Eligible Securities”) are selected from the INDEX UNIVERSE in the following manner:</w:t>
      </w:r>
    </w:p>
    <w:p w14:paraId="15A25099" w14:textId="77777777" w:rsidR="00F92614" w:rsidRPr="00F92614" w:rsidRDefault="00F92614" w:rsidP="00F92614">
      <w:pPr>
        <w:spacing w:before="0" w:after="160" w:line="259" w:lineRule="auto"/>
        <w:rPr>
          <w:lang w:val="en-US"/>
        </w:rPr>
      </w:pPr>
      <w:r w:rsidRPr="00F92614">
        <w:rPr>
          <w:lang w:val="en-US"/>
        </w:rPr>
        <w:t>A.</w:t>
      </w:r>
      <w:r w:rsidRPr="00F92614">
        <w:rPr>
          <w:lang w:val="en-US"/>
        </w:rPr>
        <w:tab/>
        <w:t>it has its primary listing on an ELIGIBLE EXCHANGE.</w:t>
      </w:r>
    </w:p>
    <w:p w14:paraId="0EFAC90A" w14:textId="77777777" w:rsidR="00F92614" w:rsidRPr="00F92614" w:rsidRDefault="00F92614" w:rsidP="00F92614">
      <w:pPr>
        <w:spacing w:before="0" w:after="160" w:line="259" w:lineRule="auto"/>
        <w:rPr>
          <w:lang w:val="en-US"/>
        </w:rPr>
      </w:pPr>
      <w:r w:rsidRPr="00F92614">
        <w:rPr>
          <w:lang w:val="en-US"/>
        </w:rPr>
        <w:t>B.</w:t>
      </w:r>
      <w:r w:rsidRPr="00F92614">
        <w:rPr>
          <w:lang w:val="en-US"/>
        </w:rPr>
        <w:tab/>
        <w:t>the security type must be share or American Depository Receipt (ADR), and must not be any type of fund.</w:t>
      </w:r>
    </w:p>
    <w:p w14:paraId="45FF34BD" w14:textId="77777777" w:rsidR="00F92614" w:rsidRPr="00F92614" w:rsidRDefault="00F92614" w:rsidP="00F92614">
      <w:pPr>
        <w:spacing w:before="0" w:after="160" w:line="259" w:lineRule="auto"/>
        <w:rPr>
          <w:lang w:val="en-US"/>
        </w:rPr>
      </w:pPr>
      <w:r w:rsidRPr="00F92614">
        <w:rPr>
          <w:lang w:val="en-US"/>
        </w:rPr>
        <w:lastRenderedPageBreak/>
        <w:t>C.</w:t>
      </w:r>
      <w:r w:rsidRPr="00F92614">
        <w:rPr>
          <w:lang w:val="en-US"/>
        </w:rPr>
        <w:tab/>
        <w:t>the FactSet Economy Level for such Security is not classified as ‘Energy’ or ‘Finance’.</w:t>
      </w:r>
    </w:p>
    <w:p w14:paraId="6A9701A9" w14:textId="77777777" w:rsidR="00F92614" w:rsidRPr="00F92614" w:rsidRDefault="00F92614" w:rsidP="00F92614">
      <w:pPr>
        <w:spacing w:before="0" w:after="160" w:line="259" w:lineRule="auto"/>
        <w:rPr>
          <w:lang w:val="en-US"/>
        </w:rPr>
      </w:pPr>
      <w:r w:rsidRPr="00F92614">
        <w:rPr>
          <w:lang w:val="en-US"/>
        </w:rPr>
        <w:t>D.</w:t>
      </w:r>
      <w:r w:rsidRPr="00F92614">
        <w:rPr>
          <w:lang w:val="en-US"/>
        </w:rPr>
        <w:tab/>
        <w:t>the Country of Domicile for such Security is neither China nor Hong Kong.</w:t>
      </w:r>
    </w:p>
    <w:p w14:paraId="3E27A9C7" w14:textId="77777777" w:rsidR="00F92614" w:rsidRPr="00F92614" w:rsidRDefault="00F92614" w:rsidP="00F92614">
      <w:pPr>
        <w:spacing w:before="0" w:after="160" w:line="259" w:lineRule="auto"/>
        <w:rPr>
          <w:lang w:val="en-US"/>
        </w:rPr>
      </w:pPr>
      <w:r w:rsidRPr="00F92614">
        <w:rPr>
          <w:lang w:val="en-US"/>
        </w:rPr>
        <w:t>E.</w:t>
      </w:r>
      <w:r w:rsidRPr="00F92614">
        <w:rPr>
          <w:lang w:val="en-US"/>
        </w:rPr>
        <w:tab/>
        <w:t>it has, as of the SELECTION DAY, a FREE FLOAT MARKET CAPITALIZATION of at least USD 200 million, unless such Security is an existing INDEX COMPONENT, in which case, the FREE FLOAT MARKET CAPITALIZATION must be at least USD 150 million.</w:t>
      </w:r>
    </w:p>
    <w:p w14:paraId="12A91B07" w14:textId="77777777" w:rsidR="00F92614" w:rsidRPr="00F92614" w:rsidRDefault="00F92614" w:rsidP="00F92614">
      <w:pPr>
        <w:spacing w:before="0" w:after="160" w:line="259" w:lineRule="auto"/>
        <w:rPr>
          <w:lang w:val="en-US"/>
        </w:rPr>
      </w:pPr>
      <w:r w:rsidRPr="00F92614">
        <w:rPr>
          <w:lang w:val="en-US"/>
        </w:rPr>
        <w:t>F.</w:t>
      </w:r>
      <w:r w:rsidRPr="00F92614">
        <w:rPr>
          <w:lang w:val="en-US"/>
        </w:rPr>
        <w:tab/>
        <w:t>its three month AVERAGE DAILY VALUE TRADED, until and including the SELECTION DAY, is at least USD 1,000,000.</w:t>
      </w:r>
    </w:p>
    <w:p w14:paraId="7C7E85F3" w14:textId="77777777" w:rsidR="00F92614" w:rsidRPr="00F92614" w:rsidRDefault="00F92614" w:rsidP="00F92614">
      <w:pPr>
        <w:spacing w:before="0" w:after="160" w:line="259" w:lineRule="auto"/>
        <w:rPr>
          <w:lang w:val="en-US"/>
        </w:rPr>
      </w:pPr>
      <w:r w:rsidRPr="00F92614">
        <w:rPr>
          <w:lang w:val="en-US"/>
        </w:rPr>
        <w:t>G.</w:t>
      </w:r>
      <w:r w:rsidRPr="00F92614">
        <w:rPr>
          <w:lang w:val="en-US"/>
        </w:rPr>
        <w:tab/>
        <w:t>the NUMBER OF TENDERS is greater than two.</w:t>
      </w:r>
    </w:p>
    <w:p w14:paraId="7FE5591A" w14:textId="1CE5B424" w:rsidR="00B9177C" w:rsidRPr="000D59D5" w:rsidRDefault="00F92614" w:rsidP="00F92614">
      <w:pPr>
        <w:spacing w:before="0" w:after="160" w:line="259" w:lineRule="auto"/>
        <w:rPr>
          <w:lang w:val="en-US"/>
        </w:rPr>
      </w:pPr>
      <w:r w:rsidRPr="00F92614">
        <w:rPr>
          <w:lang w:val="en-US"/>
        </w:rPr>
        <w:t>H.</w:t>
      </w:r>
      <w:r w:rsidRPr="00F92614">
        <w:rPr>
          <w:lang w:val="en-US"/>
        </w:rPr>
        <w:tab/>
        <w:t>its TECHNOLOGY is any of wind, solar, ocean power, hydro, biopower and/or geothermal.</w:t>
      </w:r>
    </w:p>
    <w:p w14:paraId="1C98399A" w14:textId="4BCE146A" w:rsidR="00B9177C" w:rsidRDefault="00B9177C" w:rsidP="00B9177C">
      <w:pPr>
        <w:spacing w:before="0" w:after="160" w:line="259" w:lineRule="auto"/>
        <w:rPr>
          <w:lang w:val="en-US"/>
        </w:rPr>
      </w:pPr>
    </w:p>
    <w:p w14:paraId="46CCA873" w14:textId="63E15CF5" w:rsidR="00B4233B" w:rsidRPr="00B4233B" w:rsidRDefault="00B4233B" w:rsidP="00B4233B">
      <w:pPr>
        <w:pStyle w:val="ListParagraph"/>
        <w:numPr>
          <w:ilvl w:val="0"/>
          <w:numId w:val="30"/>
        </w:numPr>
        <w:rPr>
          <w:lang w:val="en-US" w:eastAsia="en-US"/>
        </w:rPr>
      </w:pPr>
      <w:r w:rsidRPr="00B4233B">
        <w:rPr>
          <w:lang w:val="en-US" w:eastAsia="en-US"/>
        </w:rPr>
        <w:t xml:space="preserve">On each </w:t>
      </w:r>
      <w:r w:rsidRPr="00B4233B">
        <w:rPr>
          <w:smallCaps/>
          <w:lang w:val="en-US" w:eastAsia="en-US"/>
        </w:rPr>
        <w:t>Selection Day</w:t>
      </w:r>
      <w:r w:rsidRPr="00B4233B">
        <w:rPr>
          <w:lang w:val="en-US" w:eastAsia="en-US"/>
        </w:rPr>
        <w:t xml:space="preserve">, each Eligible Security shall be deemed to be an </w:t>
      </w:r>
      <w:r w:rsidRPr="00B4233B">
        <w:rPr>
          <w:smallCaps/>
          <w:lang w:val="en-US" w:eastAsia="en-US"/>
        </w:rPr>
        <w:t>Index Component</w:t>
      </w:r>
      <w:r w:rsidRPr="00B4233B">
        <w:rPr>
          <w:lang w:val="en-US" w:eastAsia="en-US"/>
        </w:rPr>
        <w:t>, if in respect of such Eligible Security, any of the following conditions 4.A or 4.B is fulfilled.</w:t>
      </w:r>
    </w:p>
    <w:p w14:paraId="346711A1" w14:textId="77777777" w:rsidR="00B4233B" w:rsidRDefault="00B4233B" w:rsidP="00B4233B">
      <w:pPr>
        <w:pStyle w:val="ListParagraph"/>
        <w:numPr>
          <w:ilvl w:val="1"/>
          <w:numId w:val="29"/>
        </w:numPr>
        <w:rPr>
          <w:lang w:val="en-US" w:eastAsia="en-US"/>
        </w:rPr>
      </w:pPr>
      <w:r w:rsidRPr="006E7470">
        <w:rPr>
          <w:lang w:val="en-US" w:eastAsia="en-US"/>
        </w:rPr>
        <w:t xml:space="preserve">In respect of each Eligible Security that is not classified as </w:t>
      </w:r>
      <w:r w:rsidRPr="00ED6A2E">
        <w:rPr>
          <w:smallCaps/>
          <w:lang w:val="en-US" w:eastAsia="en-US"/>
        </w:rPr>
        <w:t>Utilities</w:t>
      </w:r>
      <w:r w:rsidRPr="006E7470">
        <w:rPr>
          <w:lang w:val="en-US" w:eastAsia="en-US"/>
        </w:rPr>
        <w:t xml:space="preserve"> or </w:t>
      </w:r>
      <w:r w:rsidRPr="00ED6A2E">
        <w:rPr>
          <w:smallCaps/>
          <w:lang w:val="en-US" w:eastAsia="en-US"/>
        </w:rPr>
        <w:t>Thermal</w:t>
      </w:r>
      <w:r w:rsidRPr="006E7470">
        <w:rPr>
          <w:lang w:val="en-US" w:eastAsia="en-US"/>
        </w:rPr>
        <w:t>:</w:t>
      </w:r>
    </w:p>
    <w:p w14:paraId="711C1CC2" w14:textId="77777777" w:rsidR="00B4233B" w:rsidRPr="00B71A3E" w:rsidRDefault="00B4233B" w:rsidP="00B4233B">
      <w:pPr>
        <w:pStyle w:val="ListParagraph"/>
        <w:numPr>
          <w:ilvl w:val="2"/>
          <w:numId w:val="29"/>
        </w:numPr>
        <w:rPr>
          <w:lang w:val="en-US" w:eastAsia="en-US"/>
        </w:rPr>
      </w:pPr>
      <w:r w:rsidRPr="00B71A3E">
        <w:rPr>
          <w:lang w:val="en-US" w:eastAsia="en-US"/>
        </w:rPr>
        <w:t xml:space="preserve">the company is a </w:t>
      </w:r>
      <w:r w:rsidRPr="00B71A3E">
        <w:rPr>
          <w:smallCaps/>
          <w:lang w:val="en-US" w:eastAsia="en-US"/>
        </w:rPr>
        <w:t>Component Supplier</w:t>
      </w:r>
      <w:r w:rsidRPr="000D0EE9">
        <w:rPr>
          <w:lang w:val="en-US" w:eastAsia="en-US"/>
        </w:rPr>
        <w:t xml:space="preserve"> but is not a T&amp;D Company, Semiconductor Company, Foundation Construction Company or Pure EPC Provider;</w:t>
      </w:r>
    </w:p>
    <w:p w14:paraId="5E88456C" w14:textId="77777777" w:rsidR="00B4233B" w:rsidRPr="00D2315E" w:rsidRDefault="00B4233B" w:rsidP="00B4233B">
      <w:pPr>
        <w:pStyle w:val="ListParagraph"/>
        <w:ind w:left="2160"/>
        <w:rPr>
          <w:lang w:val="en-US" w:eastAsia="en-US"/>
        </w:rPr>
      </w:pPr>
      <w:r>
        <w:rPr>
          <w:lang w:val="en-US" w:eastAsia="en-US"/>
        </w:rPr>
        <w:t>OR</w:t>
      </w:r>
    </w:p>
    <w:p w14:paraId="2CDC1F52" w14:textId="77777777" w:rsidR="00B4233B" w:rsidRDefault="00B4233B" w:rsidP="00B4233B">
      <w:pPr>
        <w:pStyle w:val="ListParagraph"/>
        <w:numPr>
          <w:ilvl w:val="2"/>
          <w:numId w:val="29"/>
        </w:numPr>
        <w:rPr>
          <w:lang w:val="en-US" w:eastAsia="en-US"/>
        </w:rPr>
      </w:pPr>
      <w:bookmarkStart w:id="1" w:name="_Hlk89774567"/>
      <w:r w:rsidRPr="00D2315E">
        <w:rPr>
          <w:lang w:val="en-US" w:eastAsia="en-US"/>
        </w:rPr>
        <w:t xml:space="preserve">the company is a </w:t>
      </w:r>
      <w:r w:rsidRPr="00D50F76">
        <w:rPr>
          <w:smallCaps/>
          <w:lang w:val="en-US" w:eastAsia="en-US"/>
        </w:rPr>
        <w:t>Wind OEM</w:t>
      </w:r>
      <w:r w:rsidRPr="00D2315E">
        <w:rPr>
          <w:lang w:val="en-US" w:eastAsia="en-US"/>
        </w:rPr>
        <w:t xml:space="preserve"> and,</w:t>
      </w:r>
    </w:p>
    <w:p w14:paraId="13AA5386" w14:textId="77777777" w:rsidR="00B4233B" w:rsidRPr="00D2315E" w:rsidRDefault="00B4233B" w:rsidP="00B4233B">
      <w:pPr>
        <w:pStyle w:val="ListParagraph"/>
        <w:numPr>
          <w:ilvl w:val="3"/>
          <w:numId w:val="29"/>
        </w:numPr>
        <w:rPr>
          <w:lang w:val="en-US" w:eastAsia="en-US"/>
        </w:rPr>
      </w:pPr>
      <w:r w:rsidRPr="00D2315E">
        <w:rPr>
          <w:lang w:val="en-US" w:eastAsia="en-US"/>
        </w:rPr>
        <w:t xml:space="preserve">its </w:t>
      </w:r>
      <w:r w:rsidRPr="00625EE0">
        <w:rPr>
          <w:smallCaps/>
          <w:lang w:val="en-US" w:eastAsia="en-US"/>
        </w:rPr>
        <w:t>Cumulative Capacity</w:t>
      </w:r>
      <w:r w:rsidRPr="00D2315E">
        <w:rPr>
          <w:lang w:val="en-US" w:eastAsia="en-US"/>
        </w:rPr>
        <w:t xml:space="preserve"> ranks within the top </w:t>
      </w:r>
      <w:r>
        <w:rPr>
          <w:lang w:val="en-US" w:eastAsia="en-US"/>
        </w:rPr>
        <w:t>two quartiles</w:t>
      </w:r>
      <w:r w:rsidRPr="00D2315E">
        <w:rPr>
          <w:lang w:val="en-US" w:eastAsia="en-US"/>
        </w:rPr>
        <w:t xml:space="preserve"> of those companies with </w:t>
      </w:r>
      <w:r w:rsidRPr="00625EE0">
        <w:rPr>
          <w:smallCaps/>
          <w:lang w:val="en-US" w:eastAsia="en-US"/>
        </w:rPr>
        <w:t>Cumulative Capacity</w:t>
      </w:r>
      <w:r w:rsidRPr="00D2315E">
        <w:rPr>
          <w:lang w:val="en-US" w:eastAsia="en-US"/>
        </w:rPr>
        <w:t xml:space="preserve"> greater than zero; unless such company is an existing </w:t>
      </w:r>
      <w:r w:rsidRPr="00625EE0">
        <w:rPr>
          <w:smallCaps/>
          <w:lang w:val="en-US" w:eastAsia="en-US"/>
        </w:rPr>
        <w:t>Index Component</w:t>
      </w:r>
      <w:r w:rsidRPr="00D2315E">
        <w:rPr>
          <w:lang w:val="en-US" w:eastAsia="en-US"/>
        </w:rPr>
        <w:t xml:space="preserve"> in which case it shall rank within the top </w:t>
      </w:r>
      <w:r>
        <w:rPr>
          <w:lang w:val="en-US" w:eastAsia="en-US"/>
        </w:rPr>
        <w:t>three quartiles</w:t>
      </w:r>
      <w:r w:rsidRPr="00D2315E">
        <w:rPr>
          <w:lang w:val="en-US" w:eastAsia="en-US"/>
        </w:rPr>
        <w:t>;</w:t>
      </w:r>
    </w:p>
    <w:p w14:paraId="08530124" w14:textId="77777777" w:rsidR="00B4233B" w:rsidRDefault="00B4233B" w:rsidP="00B4233B">
      <w:pPr>
        <w:pStyle w:val="ListParagraph"/>
        <w:ind w:left="2160"/>
        <w:rPr>
          <w:lang w:val="en-US" w:eastAsia="en-US"/>
        </w:rPr>
      </w:pPr>
      <w:r>
        <w:rPr>
          <w:lang w:val="en-US" w:eastAsia="en-US"/>
        </w:rPr>
        <w:t>OR</w:t>
      </w:r>
    </w:p>
    <w:p w14:paraId="735F8429" w14:textId="77777777" w:rsidR="00B4233B" w:rsidRDefault="00B4233B" w:rsidP="00B4233B">
      <w:pPr>
        <w:pStyle w:val="ListParagraph"/>
        <w:numPr>
          <w:ilvl w:val="2"/>
          <w:numId w:val="29"/>
        </w:numPr>
        <w:rPr>
          <w:lang w:val="en-US" w:eastAsia="en-US"/>
        </w:rPr>
      </w:pPr>
      <w:r w:rsidRPr="00D2315E">
        <w:rPr>
          <w:lang w:val="en-US" w:eastAsia="en-US"/>
        </w:rPr>
        <w:t xml:space="preserve">the company is a </w:t>
      </w:r>
      <w:r w:rsidRPr="00D50F76">
        <w:rPr>
          <w:smallCaps/>
          <w:lang w:val="en-US" w:eastAsia="en-US"/>
        </w:rPr>
        <w:t>Solar OEM</w:t>
      </w:r>
      <w:r w:rsidRPr="00D2315E">
        <w:rPr>
          <w:lang w:val="en-US" w:eastAsia="en-US"/>
        </w:rPr>
        <w:t xml:space="preserve"> and,</w:t>
      </w:r>
    </w:p>
    <w:p w14:paraId="325E210A" w14:textId="77777777" w:rsidR="00B4233B" w:rsidRPr="003628B1" w:rsidRDefault="00B4233B" w:rsidP="00B4233B">
      <w:pPr>
        <w:pStyle w:val="ListParagraph"/>
        <w:numPr>
          <w:ilvl w:val="3"/>
          <w:numId w:val="29"/>
        </w:numPr>
        <w:rPr>
          <w:lang w:val="en-US" w:eastAsia="en-US"/>
        </w:rPr>
      </w:pPr>
      <w:r w:rsidRPr="00D2315E">
        <w:rPr>
          <w:lang w:val="en-US" w:eastAsia="en-US"/>
        </w:rPr>
        <w:t xml:space="preserve">its </w:t>
      </w:r>
      <w:r w:rsidRPr="00625EE0">
        <w:rPr>
          <w:smallCaps/>
          <w:lang w:val="en-US" w:eastAsia="en-US"/>
        </w:rPr>
        <w:t>Cumulative Capacity</w:t>
      </w:r>
      <w:r w:rsidRPr="00D2315E">
        <w:rPr>
          <w:lang w:val="en-US" w:eastAsia="en-US"/>
        </w:rPr>
        <w:t xml:space="preserve"> ranks within the top </w:t>
      </w:r>
      <w:r>
        <w:rPr>
          <w:lang w:val="en-US" w:eastAsia="en-US"/>
        </w:rPr>
        <w:t>two quartiles</w:t>
      </w:r>
      <w:r w:rsidRPr="00D2315E">
        <w:rPr>
          <w:lang w:val="en-US" w:eastAsia="en-US"/>
        </w:rPr>
        <w:t xml:space="preserve"> of those companies with </w:t>
      </w:r>
      <w:r w:rsidRPr="00625EE0">
        <w:rPr>
          <w:smallCaps/>
          <w:lang w:val="en-US" w:eastAsia="en-US"/>
        </w:rPr>
        <w:t>Cumulative Capacity</w:t>
      </w:r>
      <w:r w:rsidRPr="00D2315E">
        <w:rPr>
          <w:lang w:val="en-US" w:eastAsia="en-US"/>
        </w:rPr>
        <w:t xml:space="preserve"> greater than zero; unless such company is an existing </w:t>
      </w:r>
      <w:r w:rsidRPr="00625EE0">
        <w:rPr>
          <w:smallCaps/>
          <w:lang w:val="en-US" w:eastAsia="en-US"/>
        </w:rPr>
        <w:t>Index Component</w:t>
      </w:r>
      <w:r w:rsidRPr="00D2315E">
        <w:rPr>
          <w:lang w:val="en-US" w:eastAsia="en-US"/>
        </w:rPr>
        <w:t xml:space="preserve"> in which case it shall rank within the top </w:t>
      </w:r>
      <w:r>
        <w:rPr>
          <w:lang w:val="en-US" w:eastAsia="en-US"/>
        </w:rPr>
        <w:t>three quartiles</w:t>
      </w:r>
      <w:r w:rsidRPr="00D2315E">
        <w:rPr>
          <w:lang w:val="en-US" w:eastAsia="en-US"/>
        </w:rPr>
        <w:t>;</w:t>
      </w:r>
    </w:p>
    <w:bookmarkEnd w:id="1"/>
    <w:p w14:paraId="6026581E" w14:textId="77777777" w:rsidR="00B4233B" w:rsidRDefault="00B4233B" w:rsidP="00B4233B">
      <w:pPr>
        <w:pStyle w:val="ListParagraph"/>
        <w:ind w:left="2124"/>
        <w:rPr>
          <w:lang w:val="en-US" w:eastAsia="en-US"/>
        </w:rPr>
      </w:pPr>
      <w:r>
        <w:rPr>
          <w:lang w:val="en-US" w:eastAsia="en-US"/>
        </w:rPr>
        <w:t xml:space="preserve">Further, for the purposes of steps (ii) and (iii) above, if the company is both, a </w:t>
      </w:r>
      <w:r w:rsidRPr="00D50F76">
        <w:rPr>
          <w:smallCaps/>
          <w:lang w:val="en-US" w:eastAsia="en-US"/>
        </w:rPr>
        <w:t>Wind OEM</w:t>
      </w:r>
      <w:r>
        <w:rPr>
          <w:lang w:val="en-US" w:eastAsia="en-US"/>
        </w:rPr>
        <w:t xml:space="preserve"> and </w:t>
      </w:r>
      <w:r w:rsidRPr="00D50F76">
        <w:rPr>
          <w:smallCaps/>
          <w:lang w:val="en-US" w:eastAsia="en-US"/>
        </w:rPr>
        <w:t>Solar OEM</w:t>
      </w:r>
      <w:r>
        <w:rPr>
          <w:lang w:val="en-US" w:eastAsia="en-US"/>
        </w:rPr>
        <w:t xml:space="preserve">, it shall be treated as a </w:t>
      </w:r>
      <w:r w:rsidRPr="00D50F76">
        <w:rPr>
          <w:smallCaps/>
          <w:lang w:val="en-US" w:eastAsia="en-US"/>
        </w:rPr>
        <w:t>Wind OEM</w:t>
      </w:r>
      <w:r>
        <w:rPr>
          <w:lang w:val="en-US" w:eastAsia="en-US"/>
        </w:rPr>
        <w:t xml:space="preserve"> if the wind capacity contribution towards the </w:t>
      </w:r>
      <w:r w:rsidRPr="00625EE0">
        <w:rPr>
          <w:smallCaps/>
          <w:lang w:val="en-US" w:eastAsia="en-US"/>
        </w:rPr>
        <w:t>Cumulative Capacity</w:t>
      </w:r>
      <w:r>
        <w:rPr>
          <w:lang w:val="en-US" w:eastAsia="en-US"/>
        </w:rPr>
        <w:t xml:space="preserve"> is greater than the solar capacity contribution. Otherwise, it will be treated as a </w:t>
      </w:r>
      <w:r w:rsidRPr="00D50F76">
        <w:rPr>
          <w:smallCaps/>
          <w:lang w:val="en-US" w:eastAsia="en-US"/>
        </w:rPr>
        <w:t>Solar OEM</w:t>
      </w:r>
      <w:r>
        <w:rPr>
          <w:lang w:val="en-US" w:eastAsia="en-US"/>
        </w:rPr>
        <w:t>.</w:t>
      </w:r>
    </w:p>
    <w:p w14:paraId="3A0F6EC9" w14:textId="77777777" w:rsidR="00B4233B" w:rsidRPr="003628B1" w:rsidRDefault="00B4233B" w:rsidP="00B4233B">
      <w:pPr>
        <w:pStyle w:val="ListParagraph"/>
        <w:ind w:left="1440"/>
        <w:rPr>
          <w:lang w:val="en-US" w:eastAsia="en-US"/>
        </w:rPr>
      </w:pPr>
      <w:r>
        <w:rPr>
          <w:lang w:val="en-US" w:eastAsia="en-US"/>
        </w:rPr>
        <w:t>OR</w:t>
      </w:r>
    </w:p>
    <w:p w14:paraId="7D19E078" w14:textId="77777777" w:rsidR="00B4233B" w:rsidRDefault="00B4233B" w:rsidP="00B4233B">
      <w:pPr>
        <w:pStyle w:val="ListParagraph"/>
        <w:numPr>
          <w:ilvl w:val="1"/>
          <w:numId w:val="29"/>
        </w:numPr>
        <w:rPr>
          <w:lang w:val="en-US" w:eastAsia="en-US"/>
        </w:rPr>
      </w:pPr>
      <w:r w:rsidRPr="00D2315E">
        <w:rPr>
          <w:lang w:val="en-US" w:eastAsia="en-US"/>
        </w:rPr>
        <w:lastRenderedPageBreak/>
        <w:t xml:space="preserve">In respect of each Eligible Security that is not </w:t>
      </w:r>
      <w:r>
        <w:rPr>
          <w:lang w:val="en-US" w:eastAsia="en-US"/>
        </w:rPr>
        <w:t xml:space="preserve">a </w:t>
      </w:r>
      <w:r w:rsidRPr="00D50F76">
        <w:rPr>
          <w:smallCaps/>
          <w:lang w:val="en-US" w:eastAsia="en-US"/>
        </w:rPr>
        <w:t>Wind OEM</w:t>
      </w:r>
      <w:r w:rsidRPr="00D2315E">
        <w:rPr>
          <w:lang w:val="en-US" w:eastAsia="en-US"/>
        </w:rPr>
        <w:t xml:space="preserve">, </w:t>
      </w:r>
      <w:r w:rsidRPr="00D50F76">
        <w:rPr>
          <w:smallCaps/>
          <w:lang w:val="en-US" w:eastAsia="en-US"/>
        </w:rPr>
        <w:t>Solar OEM</w:t>
      </w:r>
      <w:r w:rsidRPr="00D2315E">
        <w:rPr>
          <w:lang w:val="en-US" w:eastAsia="en-US"/>
        </w:rPr>
        <w:t xml:space="preserve">, </w:t>
      </w:r>
      <w:r w:rsidRPr="00D50F76">
        <w:rPr>
          <w:smallCaps/>
          <w:lang w:val="en-US" w:eastAsia="en-US"/>
        </w:rPr>
        <w:t>T&amp;D Company</w:t>
      </w:r>
      <w:r w:rsidRPr="00D2315E">
        <w:rPr>
          <w:lang w:val="en-US" w:eastAsia="en-US"/>
        </w:rPr>
        <w:t xml:space="preserve">, </w:t>
      </w:r>
      <w:r w:rsidRPr="00D50F76">
        <w:rPr>
          <w:smallCaps/>
          <w:lang w:val="en-US" w:eastAsia="en-US"/>
        </w:rPr>
        <w:t>Semiconductor Company</w:t>
      </w:r>
      <w:r>
        <w:rPr>
          <w:smallCaps/>
          <w:lang w:val="en-US" w:eastAsia="en-US"/>
        </w:rPr>
        <w:t xml:space="preserve">, Energy Storage Provider, </w:t>
      </w:r>
      <w:proofErr w:type="spellStart"/>
      <w:r>
        <w:rPr>
          <w:smallCaps/>
          <w:lang w:val="en-US" w:eastAsia="en-US"/>
        </w:rPr>
        <w:t>Electrolyser</w:t>
      </w:r>
      <w:proofErr w:type="spellEnd"/>
      <w:r>
        <w:rPr>
          <w:smallCaps/>
          <w:lang w:val="en-US" w:eastAsia="en-US"/>
        </w:rPr>
        <w:t xml:space="preserve"> Manufacturer</w:t>
      </w:r>
      <w:r>
        <w:rPr>
          <w:lang w:val="en-US" w:eastAsia="en-US"/>
        </w:rPr>
        <w:t xml:space="preserve">, </w:t>
      </w:r>
      <w:r w:rsidRPr="000308BB">
        <w:rPr>
          <w:smallCaps/>
          <w:lang w:val="en-US" w:eastAsia="en-US"/>
        </w:rPr>
        <w:t>Fuel Cell Manufacturer</w:t>
      </w:r>
      <w:r w:rsidRPr="00D2315E">
        <w:rPr>
          <w:lang w:val="en-US" w:eastAsia="en-US"/>
        </w:rPr>
        <w:t xml:space="preserve"> or </w:t>
      </w:r>
      <w:r w:rsidRPr="00D50F76">
        <w:rPr>
          <w:smallCaps/>
          <w:lang w:val="en-US" w:eastAsia="en-US"/>
        </w:rPr>
        <w:t>Pure EPC Provider</w:t>
      </w:r>
      <w:r w:rsidRPr="00D2315E">
        <w:rPr>
          <w:lang w:val="en-US" w:eastAsia="en-US"/>
        </w:rPr>
        <w:t>:</w:t>
      </w:r>
    </w:p>
    <w:p w14:paraId="710549B4" w14:textId="0FBA9A73" w:rsidR="00223777" w:rsidRPr="00B4233B" w:rsidRDefault="00B4233B" w:rsidP="00223777">
      <w:pPr>
        <w:spacing w:before="0" w:after="160" w:line="259" w:lineRule="auto"/>
        <w:rPr>
          <w:sz w:val="22"/>
          <w:szCs w:val="22"/>
          <w:lang w:val="en-US"/>
        </w:rPr>
      </w:pPr>
      <w:r>
        <w:rPr>
          <w:sz w:val="22"/>
          <w:szCs w:val="22"/>
          <w:lang w:val="en-US"/>
        </w:rPr>
        <w:t>[…]</w:t>
      </w:r>
    </w:p>
    <w:p w14:paraId="32946C08" w14:textId="77777777" w:rsidR="00442BD6" w:rsidRDefault="00442BD6" w:rsidP="008A6406">
      <w:pPr>
        <w:spacing w:before="0" w:after="160" w:line="259" w:lineRule="auto"/>
        <w:rPr>
          <w:lang w:val="en-US"/>
        </w:rPr>
      </w:pPr>
    </w:p>
    <w:p w14:paraId="62308FD1" w14:textId="38877405" w:rsidR="00E95DEA" w:rsidRPr="00442BD6" w:rsidRDefault="00E95DEA" w:rsidP="008A6406">
      <w:pPr>
        <w:spacing w:before="0" w:after="160" w:line="259" w:lineRule="auto"/>
        <w:rPr>
          <w:b/>
          <w:bCs/>
          <w:lang w:val="en-US"/>
        </w:rPr>
      </w:pPr>
      <w:r w:rsidRPr="00E95DEA">
        <w:rPr>
          <w:b/>
          <w:bCs/>
          <w:lang w:val="en-US"/>
        </w:rPr>
        <w:t>2.3.</w:t>
      </w:r>
      <w:r w:rsidR="001B7CED">
        <w:rPr>
          <w:b/>
          <w:bCs/>
          <w:lang w:val="en-DE"/>
        </w:rPr>
        <w:t xml:space="preserve"> </w:t>
      </w:r>
      <w:r w:rsidRPr="00E95DEA">
        <w:rPr>
          <w:b/>
          <w:bCs/>
          <w:lang w:val="en-US"/>
        </w:rPr>
        <w:t>WEIGHTING OF THE INDEX COMPONENTS</w:t>
      </w:r>
    </w:p>
    <w:p w14:paraId="6F9CB15C" w14:textId="49B30E54" w:rsidR="00E95DEA" w:rsidRPr="00C369DE" w:rsidRDefault="00E95DEA" w:rsidP="008A6406">
      <w:pPr>
        <w:spacing w:before="0" w:after="160" w:line="259" w:lineRule="auto"/>
        <w:rPr>
          <w:b/>
          <w:bCs/>
          <w:lang w:val="en-US"/>
        </w:rPr>
      </w:pPr>
      <w:r w:rsidRPr="00C369DE">
        <w:rPr>
          <w:b/>
          <w:bCs/>
          <w:lang w:val="en-US"/>
        </w:rPr>
        <w:t>From:</w:t>
      </w:r>
    </w:p>
    <w:p w14:paraId="69654E50" w14:textId="77777777" w:rsidR="00442BD6" w:rsidRPr="00442BD6" w:rsidRDefault="00442BD6" w:rsidP="00442BD6">
      <w:pPr>
        <w:spacing w:before="0" w:after="160" w:line="259" w:lineRule="auto"/>
        <w:rPr>
          <w:lang w:val="en-US"/>
        </w:rPr>
      </w:pPr>
      <w:r w:rsidRPr="00442BD6">
        <w:rPr>
          <w:lang w:val="en-US"/>
        </w:rPr>
        <w:t>On each SELECTION DAY each INDEX COMPONENT is assigned an equal weight (‘the initial weight’) such that the total INDEX COMPONENT weight of all INDEX COMPONENTS is equal to 100%, subject to the following constraints: weighted in accordance with the following steps:</w:t>
      </w:r>
    </w:p>
    <w:p w14:paraId="6E7A476C" w14:textId="77777777" w:rsidR="00442BD6" w:rsidRPr="00442BD6" w:rsidRDefault="00442BD6" w:rsidP="00442BD6">
      <w:pPr>
        <w:spacing w:before="0" w:after="160" w:line="259" w:lineRule="auto"/>
        <w:rPr>
          <w:lang w:val="en-US"/>
        </w:rPr>
      </w:pPr>
      <w:r w:rsidRPr="00442BD6">
        <w:rPr>
          <w:lang w:val="en-US"/>
        </w:rPr>
        <w:t>1.</w:t>
      </w:r>
      <w:r w:rsidRPr="00442BD6">
        <w:rPr>
          <w:lang w:val="en-US"/>
        </w:rPr>
        <w:tab/>
        <w:t xml:space="preserve">if the three month AVERAGE DAILY VALUE TRADED is less than USD 2,000,000, then the INDEX COMPONENT Weight of such INDEX COMPONENT shall be capped at 1% provided the initial weight is greater than 1%; </w:t>
      </w:r>
    </w:p>
    <w:p w14:paraId="6412FDCE" w14:textId="77777777" w:rsidR="00442BD6" w:rsidRPr="00442BD6" w:rsidRDefault="00442BD6" w:rsidP="00442BD6">
      <w:pPr>
        <w:spacing w:before="0" w:after="160" w:line="259" w:lineRule="auto"/>
        <w:rPr>
          <w:lang w:val="en-US"/>
        </w:rPr>
      </w:pPr>
      <w:r w:rsidRPr="00442BD6">
        <w:rPr>
          <w:lang w:val="en-US"/>
        </w:rPr>
        <w:t>2.</w:t>
      </w:r>
      <w:r w:rsidRPr="00442BD6">
        <w:rPr>
          <w:lang w:val="en-US"/>
        </w:rPr>
        <w:tab/>
        <w:t xml:space="preserve">if the three month AVERAGE DAILY VALUE TRADED is less than USD 3,000,000 but greater than or equal to USD 2,000,000, then the INDEX COMPONENT Weight of such INDEX COMPONENT shall be capped at 2% provided the initial weight is greater than 2%; and </w:t>
      </w:r>
    </w:p>
    <w:p w14:paraId="479FC68A" w14:textId="77777777" w:rsidR="00442BD6" w:rsidRPr="00442BD6" w:rsidRDefault="00442BD6" w:rsidP="00442BD6">
      <w:pPr>
        <w:spacing w:before="0" w:after="160" w:line="259" w:lineRule="auto"/>
        <w:rPr>
          <w:lang w:val="en-US"/>
        </w:rPr>
      </w:pPr>
      <w:r w:rsidRPr="00442BD6">
        <w:rPr>
          <w:lang w:val="en-US"/>
        </w:rPr>
        <w:t>3.</w:t>
      </w:r>
      <w:r w:rsidRPr="00442BD6">
        <w:rPr>
          <w:lang w:val="en-US"/>
        </w:rPr>
        <w:tab/>
        <w:t xml:space="preserve">if the three month AVERAGE DAILY VALUE TRADED is less than USD 4,000,000 but greater than or equal to USD 3,000,000, then the INDEX COMPONENT Weight of such INDEX COMPONENT shall be capped at 3% provided the initial weight is greater than 3%. </w:t>
      </w:r>
    </w:p>
    <w:p w14:paraId="753994BD" w14:textId="5CEDB8E9" w:rsidR="00442BD6" w:rsidRDefault="00442BD6" w:rsidP="00442BD6">
      <w:pPr>
        <w:spacing w:before="0" w:after="160" w:line="259" w:lineRule="auto"/>
        <w:rPr>
          <w:lang w:val="en-US"/>
        </w:rPr>
      </w:pPr>
      <w:r w:rsidRPr="00442BD6">
        <w:rPr>
          <w:lang w:val="en-US"/>
        </w:rPr>
        <w:t>Any residual weight that arises from capping the INDEX COMPONENT weights shall be distributed equally to the remaining INDEX COMPONENTS, subject to the constraints 1 - 3 above. For the avoidance of doubt, INDEX COMPONENTS affected from the aforementioned constraints will be excluded from the weight redistribution if this process increases their weight above the defined weight caps.</w:t>
      </w:r>
    </w:p>
    <w:p w14:paraId="5BFE4422" w14:textId="12AAF80E" w:rsidR="00442BD6" w:rsidRPr="001B7CED" w:rsidRDefault="00442BD6" w:rsidP="00442BD6">
      <w:pPr>
        <w:spacing w:before="0" w:after="160" w:line="259" w:lineRule="auto"/>
        <w:rPr>
          <w:b/>
          <w:bCs/>
          <w:lang w:val="en-US"/>
        </w:rPr>
      </w:pPr>
      <w:r w:rsidRPr="001B7CED">
        <w:rPr>
          <w:b/>
          <w:bCs/>
          <w:lang w:val="en-US"/>
        </w:rPr>
        <w:t>To:</w:t>
      </w:r>
    </w:p>
    <w:p w14:paraId="7E7A5858" w14:textId="77777777" w:rsidR="00442BD6" w:rsidRDefault="00442BD6" w:rsidP="00442BD6">
      <w:pPr>
        <w:rPr>
          <w:lang w:val="en-US" w:eastAsia="en-US"/>
        </w:rPr>
      </w:pPr>
      <w:r>
        <w:rPr>
          <w:lang w:val="en-US" w:eastAsia="en-US"/>
        </w:rPr>
        <w:t xml:space="preserve">On each </w:t>
      </w:r>
      <w:r w:rsidRPr="008C1804">
        <w:rPr>
          <w:smallCaps/>
          <w:lang w:val="en-US" w:eastAsia="en-US"/>
        </w:rPr>
        <w:t>Selection Day</w:t>
      </w:r>
      <w:r>
        <w:rPr>
          <w:lang w:val="en-US" w:eastAsia="en-US"/>
        </w:rPr>
        <w:t xml:space="preserve"> e</w:t>
      </w:r>
      <w:r w:rsidRPr="00E778AD">
        <w:rPr>
          <w:lang w:val="en-US" w:eastAsia="en-US"/>
        </w:rPr>
        <w:t xml:space="preserve">ach </w:t>
      </w:r>
      <w:r w:rsidRPr="000515C0">
        <w:rPr>
          <w:smallCaps/>
          <w:lang w:val="en-US" w:eastAsia="en-US"/>
        </w:rPr>
        <w:t>Index</w:t>
      </w:r>
      <w:r w:rsidRPr="00980907">
        <w:rPr>
          <w:smallCaps/>
          <w:lang w:val="en-US" w:eastAsia="en-US"/>
        </w:rPr>
        <w:t xml:space="preserve"> Component</w:t>
      </w:r>
      <w:r w:rsidRPr="00E778AD">
        <w:rPr>
          <w:lang w:val="en-US" w:eastAsia="en-US"/>
        </w:rPr>
        <w:t xml:space="preserve"> is </w:t>
      </w:r>
      <w:r>
        <w:rPr>
          <w:lang w:val="en-US" w:eastAsia="en-US"/>
        </w:rPr>
        <w:t>weighted in accordance with the following steps:</w:t>
      </w:r>
    </w:p>
    <w:p w14:paraId="369C2B18" w14:textId="77777777" w:rsidR="00442BD6" w:rsidRPr="00F906F5" w:rsidRDefault="00442BD6" w:rsidP="00442BD6">
      <w:pPr>
        <w:pStyle w:val="ListParagraph"/>
        <w:numPr>
          <w:ilvl w:val="0"/>
          <w:numId w:val="24"/>
        </w:numPr>
        <w:rPr>
          <w:lang w:val="en-US" w:eastAsia="en-US"/>
        </w:rPr>
      </w:pPr>
      <w:r>
        <w:rPr>
          <w:lang w:val="en-US" w:eastAsia="en-US"/>
        </w:rPr>
        <w:t>E</w:t>
      </w:r>
      <w:r w:rsidRPr="003E28B7">
        <w:rPr>
          <w:lang w:val="en-US" w:eastAsia="en-US"/>
        </w:rPr>
        <w:t xml:space="preserve">ach </w:t>
      </w:r>
      <w:r w:rsidRPr="00227573">
        <w:rPr>
          <w:smallCaps/>
          <w:lang w:val="en-US" w:eastAsia="en-US"/>
        </w:rPr>
        <w:t xml:space="preserve">Index Component </w:t>
      </w:r>
      <w:r w:rsidRPr="003E28B7">
        <w:rPr>
          <w:lang w:val="en-US" w:eastAsia="en-US"/>
        </w:rPr>
        <w:t xml:space="preserve">is </w:t>
      </w:r>
      <w:r>
        <w:rPr>
          <w:lang w:val="en-US" w:eastAsia="en-US"/>
        </w:rPr>
        <w:t xml:space="preserve">initially </w:t>
      </w:r>
      <w:r w:rsidRPr="003E28B7">
        <w:rPr>
          <w:lang w:val="en-US" w:eastAsia="en-US"/>
        </w:rPr>
        <w:t xml:space="preserve">weighted equally </w:t>
      </w:r>
      <m:oMath>
        <m:sSubSup>
          <m:sSubSupPr>
            <m:ctrlPr>
              <w:rPr>
                <w:rFonts w:ascii="Cambria Math" w:hAnsi="Cambria Math"/>
                <w:i/>
              </w:rPr>
            </m:ctrlPr>
          </m:sSubSupPr>
          <m:e>
            <m:r>
              <w:rPr>
                <w:rFonts w:ascii="Cambria Math" w:hAnsi="Cambria Math"/>
              </w:rPr>
              <m:t>w</m:t>
            </m:r>
          </m:e>
          <m:sub>
            <m:r>
              <w:rPr>
                <w:rFonts w:ascii="Cambria Math" w:hAnsi="Cambria Math"/>
              </w:rPr>
              <m:t>i</m:t>
            </m:r>
          </m:sub>
          <m:sup>
            <m:r>
              <w:rPr>
                <w:rFonts w:ascii="Cambria Math" w:hAnsi="Cambria Math"/>
                <w:lang w:val="en-GB"/>
              </w:rPr>
              <m:t>*</m:t>
            </m:r>
          </m:sup>
        </m:sSubSup>
      </m:oMath>
      <w:r w:rsidRPr="00F906F5">
        <w:rPr>
          <w:lang w:val="en-GB"/>
        </w:rPr>
        <w:t>;</w:t>
      </w:r>
    </w:p>
    <w:p w14:paraId="202E0CC4" w14:textId="77777777" w:rsidR="00442BD6" w:rsidRDefault="00442BD6" w:rsidP="00442BD6">
      <w:pPr>
        <w:pStyle w:val="ListParagraph"/>
        <w:numPr>
          <w:ilvl w:val="0"/>
          <w:numId w:val="24"/>
        </w:numPr>
        <w:spacing w:after="240"/>
        <w:rPr>
          <w:lang w:val="en-US" w:eastAsia="en-US"/>
        </w:rPr>
      </w:pPr>
      <w:r>
        <w:rPr>
          <w:lang w:val="en-US" w:eastAsia="en-US"/>
        </w:rPr>
        <w:t>Then, f</w:t>
      </w:r>
      <w:r w:rsidRPr="003E28B7">
        <w:rPr>
          <w:lang w:val="en-US" w:eastAsia="en-US"/>
        </w:rPr>
        <w:t xml:space="preserve">or each </w:t>
      </w:r>
      <w:r w:rsidRPr="00227573">
        <w:rPr>
          <w:smallCaps/>
          <w:lang w:val="en-US" w:eastAsia="en-US"/>
        </w:rPr>
        <w:t>Index Component</w:t>
      </w:r>
      <w:r w:rsidRPr="003E28B7">
        <w:rPr>
          <w:lang w:val="en-US" w:eastAsia="en-US"/>
        </w:rPr>
        <w:t xml:space="preserve"> </w:t>
      </w:r>
      <w:r>
        <w:rPr>
          <w:lang w:val="en-US" w:eastAsia="en-US"/>
        </w:rPr>
        <w:t>the</w:t>
      </w:r>
      <w:r w:rsidRPr="003E28B7">
        <w:rPr>
          <w:lang w:val="en-US" w:eastAsia="en-US"/>
        </w:rPr>
        <w:t xml:space="preserve"> maximum weight </w:t>
      </w:r>
      <m:oMath>
        <m:sSub>
          <m:sSubPr>
            <m:ctrlPr>
              <w:rPr>
                <w:rFonts w:ascii="Cambria Math" w:hAnsi="Cambria Math"/>
                <w:i/>
              </w:rPr>
            </m:ctrlPr>
          </m:sSubPr>
          <m:e>
            <m:r>
              <w:rPr>
                <w:rFonts w:ascii="Cambria Math" w:hAnsi="Cambria Math"/>
              </w:rPr>
              <m:t>w</m:t>
            </m:r>
          </m:e>
          <m:sub>
            <m:r>
              <w:rPr>
                <w:rFonts w:ascii="Cambria Math" w:hAnsi="Cambria Math"/>
              </w:rPr>
              <m:t>i</m:t>
            </m:r>
            <m:r>
              <w:rPr>
                <w:rFonts w:ascii="Cambria Math" w:hAnsi="Cambria Math"/>
                <w:lang w:val="en-GB"/>
              </w:rPr>
              <m:t xml:space="preserve">, </m:t>
            </m:r>
            <m:r>
              <w:rPr>
                <w:rFonts w:ascii="Cambria Math" w:hAnsi="Cambria Math"/>
              </w:rPr>
              <m:t>max</m:t>
            </m:r>
          </m:sub>
        </m:sSub>
        <m:r>
          <w:rPr>
            <w:rFonts w:ascii="Cambria Math" w:hAnsi="Cambria Math"/>
            <w:lang w:val="en-GB"/>
          </w:rPr>
          <m:t xml:space="preserve"> </m:t>
        </m:r>
      </m:oMath>
      <w:r w:rsidRPr="003E28B7">
        <w:rPr>
          <w:lang w:val="en-US" w:eastAsia="en-US"/>
        </w:rPr>
        <w:t xml:space="preserve">is </w:t>
      </w:r>
      <w:r w:rsidRPr="00C4296C">
        <w:rPr>
          <w:lang w:val="en-US" w:eastAsia="en-US"/>
        </w:rPr>
        <w:t xml:space="preserve">calculated </w:t>
      </w:r>
      <w:r>
        <w:rPr>
          <w:lang w:val="en-US" w:eastAsia="en-US"/>
        </w:rPr>
        <w:t>as:</w:t>
      </w:r>
    </w:p>
    <w:p w14:paraId="21AC74E6" w14:textId="77777777" w:rsidR="00442BD6" w:rsidRPr="00C4296C" w:rsidRDefault="000F0727" w:rsidP="00442BD6">
      <w:pPr>
        <w:pStyle w:val="ListParagraph"/>
        <w:rPr>
          <w:lang w:val="en-US" w:eastAsia="en-US"/>
        </w:rPr>
      </w:pPr>
      <m:oMathPara>
        <m:oMath>
          <m:sSub>
            <m:sSubPr>
              <m:ctrlPr>
                <w:rPr>
                  <w:rFonts w:ascii="Cambria Math" w:hAnsi="Cambria Math"/>
                  <w:i/>
                </w:rPr>
              </m:ctrlPr>
            </m:sSubPr>
            <m:e>
              <m:r>
                <w:rPr>
                  <w:rFonts w:ascii="Cambria Math" w:hAnsi="Cambria Math"/>
                </w:rPr>
                <m:t>w</m:t>
              </m:r>
            </m:e>
            <m:sub>
              <m:r>
                <w:rPr>
                  <w:rFonts w:ascii="Cambria Math" w:hAnsi="Cambria Math"/>
                </w:rPr>
                <m:t>i, max</m:t>
              </m:r>
            </m:sub>
          </m:sSub>
          <m:r>
            <w:rPr>
              <w:rFonts w:ascii="Cambria Math" w:hAnsi="Cambria Math"/>
              <w:lang w:val="en-GB"/>
            </w:rPr>
            <m:t xml:space="preserve"> </m:t>
          </m:r>
          <m:r>
            <w:rPr>
              <w:rFonts w:ascii="Cambria Math" w:hAnsi="Cambria Math"/>
            </w:rPr>
            <m:t>= Min</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w</m:t>
                  </m:r>
                </m:e>
                <m:sub>
                  <m:r>
                    <w:rPr>
                      <w:rFonts w:ascii="Cambria Math" w:hAnsi="Cambria Math"/>
                    </w:rPr>
                    <m:t>i, max</m:t>
                  </m:r>
                </m:sub>
                <m:sup>
                  <m:r>
                    <w:rPr>
                      <w:rFonts w:ascii="Cambria Math" w:hAnsi="Cambria Math"/>
                    </w:rPr>
                    <m:t>liquidity</m:t>
                  </m:r>
                </m:sup>
              </m:sSubSup>
              <m:r>
                <w:rPr>
                  <w:rFonts w:ascii="Cambria Math" w:hAnsi="Cambria Math"/>
                </w:rPr>
                <m:t xml:space="preserve">, </m:t>
              </m:r>
              <m:sSubSup>
                <m:sSubSupPr>
                  <m:ctrlPr>
                    <w:rPr>
                      <w:rFonts w:ascii="Cambria Math" w:hAnsi="Cambria Math"/>
                      <w:i/>
                    </w:rPr>
                  </m:ctrlPr>
                </m:sSubSupPr>
                <m:e>
                  <m:r>
                    <w:rPr>
                      <w:rFonts w:ascii="Cambria Math" w:hAnsi="Cambria Math"/>
                    </w:rPr>
                    <m:t>w</m:t>
                  </m:r>
                </m:e>
                <m:sub>
                  <m:r>
                    <w:rPr>
                      <w:rFonts w:ascii="Cambria Math" w:hAnsi="Cambria Math"/>
                    </w:rPr>
                    <m:t>i, max</m:t>
                  </m:r>
                </m:sub>
                <m:sup>
                  <m:r>
                    <w:rPr>
                      <w:rFonts w:ascii="Cambria Math" w:hAnsi="Cambria Math"/>
                    </w:rPr>
                    <m:t>ownership</m:t>
                  </m:r>
                </m:sup>
              </m:sSubSup>
            </m:e>
          </m:d>
        </m:oMath>
      </m:oMathPara>
    </w:p>
    <w:p w14:paraId="700D7025" w14:textId="77777777" w:rsidR="00442BD6" w:rsidRPr="00F906F5" w:rsidRDefault="00442BD6" w:rsidP="00442BD6">
      <w:pPr>
        <w:spacing w:before="0" w:after="160" w:line="259" w:lineRule="auto"/>
        <w:ind w:left="709"/>
        <w:contextualSpacing/>
        <w:jc w:val="left"/>
      </w:pPr>
      <w:proofErr w:type="spellStart"/>
      <w:r w:rsidRPr="00F906F5">
        <w:t>where</w:t>
      </w:r>
      <w:proofErr w:type="spellEnd"/>
      <w:r w:rsidRPr="00F906F5">
        <w:t>,</w:t>
      </w:r>
    </w:p>
    <w:p w14:paraId="4E943E6A" w14:textId="77777777" w:rsidR="00442BD6" w:rsidRDefault="000F0727" w:rsidP="00442BD6">
      <w:pPr>
        <w:pStyle w:val="ListParagraph"/>
        <w:spacing w:after="240"/>
      </w:pPr>
      <m:oMathPara>
        <m:oMath>
          <m:sSubSup>
            <m:sSubSupPr>
              <m:ctrlPr>
                <w:rPr>
                  <w:rFonts w:ascii="Cambria Math" w:hAnsi="Cambria Math"/>
                  <w:i/>
                </w:rPr>
              </m:ctrlPr>
            </m:sSubSupPr>
            <m:e>
              <m:r>
                <w:rPr>
                  <w:rFonts w:ascii="Cambria Math" w:hAnsi="Cambria Math"/>
                </w:rPr>
                <m:t>w</m:t>
              </m:r>
            </m:e>
            <m:sub>
              <m:r>
                <w:rPr>
                  <w:rFonts w:ascii="Cambria Math" w:hAnsi="Cambria Math"/>
                </w:rPr>
                <m:t>i, max</m:t>
              </m:r>
            </m:sub>
            <m:sup>
              <m:r>
                <w:rPr>
                  <w:rFonts w:ascii="Cambria Math" w:hAnsi="Cambria Math"/>
                </w:rPr>
                <m:t>liquidity</m:t>
              </m:r>
            </m:sup>
          </m:sSubSup>
          <m:r>
            <w:rPr>
              <w:rFonts w:ascii="Cambria Math" w:hAnsi="Cambria Math"/>
            </w:rPr>
            <m:t xml:space="preserve"> = </m:t>
          </m:r>
          <m:f>
            <m:fPr>
              <m:ctrlPr>
                <w:rPr>
                  <w:rFonts w:ascii="Cambria Math" w:hAnsi="Cambria Math"/>
                  <w:i/>
                </w:rPr>
              </m:ctrlPr>
            </m:fPr>
            <m:num>
              <m:d>
                <m:dPr>
                  <m:ctrlPr>
                    <w:rPr>
                      <w:rFonts w:ascii="Cambria Math" w:hAnsi="Cambria Math"/>
                      <w:i/>
                    </w:rPr>
                  </m:ctrlPr>
                </m:dPr>
                <m:e>
                  <m:r>
                    <w:rPr>
                      <w:rFonts w:ascii="Cambria Math" w:hAnsi="Cambria Math"/>
                    </w:rPr>
                    <m:t>1 – Haircut</m:t>
                  </m:r>
                </m:e>
              </m:d>
              <m:r>
                <w:rPr>
                  <w:rFonts w:ascii="Cambria Math" w:hAnsi="Cambria Math"/>
                </w:rPr>
                <m:t>× Liquidity Measure× Participation (%)</m:t>
              </m:r>
            </m:num>
            <m:den>
              <m:r>
                <w:rPr>
                  <w:rFonts w:ascii="Cambria Math" w:hAnsi="Cambria Math"/>
                </w:rPr>
                <m:t>AuM× Turnover</m:t>
              </m:r>
            </m:den>
          </m:f>
          <m:r>
            <w:rPr>
              <w:rFonts w:ascii="Cambria Math" w:hAnsi="Cambria Math"/>
            </w:rPr>
            <m:t xml:space="preserve">    </m:t>
          </m:r>
        </m:oMath>
      </m:oMathPara>
    </w:p>
    <w:p w14:paraId="282B55D4" w14:textId="77777777" w:rsidR="00442BD6" w:rsidRDefault="000F0727" w:rsidP="00442BD6">
      <w:pPr>
        <w:ind w:left="708"/>
        <w:rPr>
          <w:lang w:val="en-GB"/>
        </w:rPr>
      </w:pPr>
      <m:oMathPara>
        <m:oMath>
          <m:sSubSup>
            <m:sSubSupPr>
              <m:ctrlPr>
                <w:rPr>
                  <w:rFonts w:ascii="Cambria Math" w:hAnsi="Cambria Math"/>
                  <w:i/>
                </w:rPr>
              </m:ctrlPr>
            </m:sSubSupPr>
            <m:e>
              <m:r>
                <w:rPr>
                  <w:rFonts w:ascii="Cambria Math" w:hAnsi="Cambria Math"/>
                </w:rPr>
                <m:t>w</m:t>
              </m:r>
            </m:e>
            <m:sub>
              <m:r>
                <w:rPr>
                  <w:rFonts w:ascii="Cambria Math" w:hAnsi="Cambria Math"/>
                </w:rPr>
                <m:t>i,max</m:t>
              </m:r>
            </m:sub>
            <m:sup>
              <m:r>
                <w:rPr>
                  <w:rFonts w:ascii="Cambria Math" w:hAnsi="Cambria Math"/>
                </w:rPr>
                <m:t>ownership</m:t>
              </m:r>
            </m:sup>
          </m:sSubSup>
          <m:r>
            <w:rPr>
              <w:rFonts w:ascii="Cambria Math" w:hAnsi="Cambria Math"/>
            </w:rPr>
            <m:t xml:space="preserve"> = </m:t>
          </m:r>
          <m:f>
            <m:fPr>
              <m:ctrlPr>
                <w:rPr>
                  <w:rFonts w:ascii="Cambria Math" w:hAnsi="Cambria Math"/>
                  <w:i/>
                </w:rPr>
              </m:ctrlPr>
            </m:fPr>
            <m:num>
              <m:r>
                <w:rPr>
                  <w:rFonts w:ascii="Cambria Math" w:hAnsi="Cambria Math"/>
                </w:rPr>
                <m:t>Market Cap× Max Ownership</m:t>
              </m:r>
            </m:num>
            <m:den>
              <m:r>
                <w:rPr>
                  <w:rFonts w:ascii="Cambria Math" w:hAnsi="Cambria Math"/>
                </w:rPr>
                <m:t>AuM</m:t>
              </m:r>
            </m:den>
          </m:f>
        </m:oMath>
      </m:oMathPara>
    </w:p>
    <w:p w14:paraId="21888062" w14:textId="77777777" w:rsidR="00442BD6" w:rsidRDefault="00442BD6" w:rsidP="00442BD6">
      <w:pPr>
        <w:ind w:left="708"/>
        <w:rPr>
          <w:lang w:val="en-GB"/>
        </w:rPr>
      </w:pPr>
      <w:r>
        <w:rPr>
          <w:lang w:val="en-GB"/>
        </w:rPr>
        <w:t>and,</w:t>
      </w:r>
    </w:p>
    <w:p w14:paraId="0CB1E554" w14:textId="77777777" w:rsidR="00442BD6" w:rsidRDefault="00442BD6" w:rsidP="00442BD6">
      <w:pPr>
        <w:ind w:left="708"/>
        <w:rPr>
          <w:lang w:val="en-GB"/>
        </w:rPr>
      </w:pPr>
      <w:proofErr w:type="spellStart"/>
      <w:r>
        <w:rPr>
          <w:lang w:val="en-GB"/>
        </w:rPr>
        <w:t>AuM</w:t>
      </w:r>
      <w:proofErr w:type="spellEnd"/>
      <w:r>
        <w:rPr>
          <w:lang w:val="en-GB"/>
        </w:rPr>
        <w:t xml:space="preserve"> – </w:t>
      </w:r>
      <w:r w:rsidRPr="00EE1FD8">
        <w:rPr>
          <w:lang w:val="en-GB"/>
        </w:rPr>
        <w:t>the</w:t>
      </w:r>
      <w:r>
        <w:rPr>
          <w:lang w:val="en-GB"/>
        </w:rPr>
        <w:t xml:space="preserve"> maximum of</w:t>
      </w:r>
      <w:r w:rsidRPr="00EE1FD8">
        <w:rPr>
          <w:lang w:val="en-GB"/>
        </w:rPr>
        <w:t xml:space="preserve"> total assets under management in US Dollars of ETFs tracking the </w:t>
      </w:r>
      <w:r w:rsidRPr="00B25731">
        <w:rPr>
          <w:smallCaps/>
          <w:lang w:val="en-GB"/>
        </w:rPr>
        <w:t>Index</w:t>
      </w:r>
      <w:r w:rsidRPr="00EE1FD8">
        <w:rPr>
          <w:lang w:val="en-GB"/>
        </w:rPr>
        <w:t xml:space="preserve"> as listed in Appendix </w:t>
      </w:r>
      <w:r>
        <w:rPr>
          <w:lang w:val="en-GB"/>
        </w:rPr>
        <w:t>C and US Dollars 50 million;</w:t>
      </w:r>
    </w:p>
    <w:p w14:paraId="1FB7840F" w14:textId="77777777" w:rsidR="00442BD6" w:rsidRPr="007C66F9" w:rsidRDefault="00442BD6" w:rsidP="00442BD6">
      <w:pPr>
        <w:ind w:firstLine="708"/>
        <w:rPr>
          <w:lang w:val="en-GB"/>
        </w:rPr>
      </w:pPr>
      <w:r w:rsidRPr="007C66F9">
        <w:rPr>
          <w:lang w:val="en-GB"/>
        </w:rPr>
        <w:t xml:space="preserve">Haircut </w:t>
      </w:r>
      <w:r>
        <w:rPr>
          <w:lang w:val="en-GB"/>
        </w:rPr>
        <w:t>– assumed 1</w:t>
      </w:r>
      <w:r w:rsidRPr="007C66F9">
        <w:rPr>
          <w:lang w:val="en-GB"/>
        </w:rPr>
        <w:t>0%</w:t>
      </w:r>
      <w:r>
        <w:rPr>
          <w:lang w:val="en-GB"/>
        </w:rPr>
        <w:t>;</w:t>
      </w:r>
    </w:p>
    <w:p w14:paraId="5E52044C" w14:textId="77777777" w:rsidR="00442BD6" w:rsidRDefault="00442BD6" w:rsidP="00442BD6">
      <w:pPr>
        <w:ind w:left="708"/>
        <w:rPr>
          <w:rFonts w:ascii="Flama Semicondensed Medium" w:hAnsi="Flama Semicondensed Medium"/>
          <w:smallCaps/>
          <w:lang w:val="en-US"/>
        </w:rPr>
      </w:pPr>
      <w:r>
        <w:rPr>
          <w:lang w:val="en-GB"/>
        </w:rPr>
        <w:t xml:space="preserve">Liquidity Measure – </w:t>
      </w:r>
      <w:r w:rsidRPr="007C66F9">
        <w:rPr>
          <w:lang w:val="en-GB"/>
        </w:rPr>
        <w:t>3</w:t>
      </w:r>
      <w:r>
        <w:rPr>
          <w:lang w:val="en-GB"/>
        </w:rPr>
        <w:t xml:space="preserve">-month </w:t>
      </w:r>
      <w:r w:rsidRPr="00227573">
        <w:rPr>
          <w:smallCaps/>
          <w:lang w:val="en-GB"/>
        </w:rPr>
        <w:t>Average Daily Value Traded</w:t>
      </w:r>
      <w:r>
        <w:rPr>
          <w:smallCaps/>
          <w:lang w:val="en-GB"/>
        </w:rPr>
        <w:t xml:space="preserve"> </w:t>
      </w:r>
      <w:r w:rsidRPr="00180112">
        <w:rPr>
          <w:lang w:val="en-GB"/>
        </w:rPr>
        <w:t>in US Dollars</w:t>
      </w:r>
      <w:r>
        <w:rPr>
          <w:smallCaps/>
          <w:lang w:val="en-GB"/>
        </w:rPr>
        <w:t>;</w:t>
      </w:r>
    </w:p>
    <w:p w14:paraId="0B7BB114" w14:textId="77777777" w:rsidR="00442BD6" w:rsidRDefault="00442BD6" w:rsidP="00442BD6">
      <w:pPr>
        <w:ind w:left="708"/>
        <w:rPr>
          <w:lang w:val="en-GB"/>
        </w:rPr>
      </w:pPr>
      <w:r>
        <w:rPr>
          <w:lang w:val="en-GB"/>
        </w:rPr>
        <w:t xml:space="preserve">Market Cap – </w:t>
      </w:r>
      <w:r w:rsidRPr="002E02B8">
        <w:rPr>
          <w:smallCaps/>
          <w:lang w:val="en-GB"/>
        </w:rPr>
        <w:t>Free Float Market Capitalization</w:t>
      </w:r>
      <w:r>
        <w:rPr>
          <w:lang w:val="en-GB"/>
        </w:rPr>
        <w:t xml:space="preserve"> </w:t>
      </w:r>
      <w:r w:rsidRPr="00EE1FD8">
        <w:rPr>
          <w:lang w:val="en-GB"/>
        </w:rPr>
        <w:t>of a company in US Dollars</w:t>
      </w:r>
      <w:r>
        <w:rPr>
          <w:lang w:val="en-GB"/>
        </w:rPr>
        <w:t>;</w:t>
      </w:r>
    </w:p>
    <w:p w14:paraId="2344FB19" w14:textId="77777777" w:rsidR="00442BD6" w:rsidRDefault="00442BD6" w:rsidP="00442BD6">
      <w:pPr>
        <w:ind w:left="708"/>
        <w:rPr>
          <w:lang w:val="en-GB"/>
        </w:rPr>
      </w:pPr>
      <w:r>
        <w:rPr>
          <w:lang w:val="en-GB"/>
        </w:rPr>
        <w:t>Max Ownership – assumed 7.5%;</w:t>
      </w:r>
    </w:p>
    <w:p w14:paraId="2861B5B7" w14:textId="77777777" w:rsidR="00442BD6" w:rsidRDefault="00442BD6" w:rsidP="00442BD6">
      <w:pPr>
        <w:ind w:left="708"/>
        <w:rPr>
          <w:lang w:val="en-GB"/>
        </w:rPr>
      </w:pPr>
      <w:r>
        <w:rPr>
          <w:lang w:val="en-GB"/>
        </w:rPr>
        <w:t>Participation (%) – assumed 100%;</w:t>
      </w:r>
    </w:p>
    <w:p w14:paraId="4784F9D5" w14:textId="77777777" w:rsidR="00442BD6" w:rsidRDefault="00442BD6" w:rsidP="00442BD6">
      <w:pPr>
        <w:ind w:left="708"/>
        <w:rPr>
          <w:lang w:val="en-GB"/>
        </w:rPr>
      </w:pPr>
      <w:r>
        <w:rPr>
          <w:lang w:val="en-GB"/>
        </w:rPr>
        <w:t>Tu</w:t>
      </w:r>
      <w:r w:rsidRPr="007C66F9">
        <w:rPr>
          <w:lang w:val="en-GB"/>
        </w:rPr>
        <w:t>rnover</w:t>
      </w:r>
      <w:r>
        <w:rPr>
          <w:lang w:val="en-GB"/>
        </w:rPr>
        <w:t xml:space="preserve"> – </w:t>
      </w:r>
      <w:r w:rsidRPr="007C66F9">
        <w:rPr>
          <w:lang w:val="en-GB"/>
        </w:rPr>
        <w:t>assumed 40%.</w:t>
      </w:r>
    </w:p>
    <w:p w14:paraId="3A5A61F0" w14:textId="77777777" w:rsidR="00442BD6" w:rsidRPr="00F906F5" w:rsidRDefault="00442BD6" w:rsidP="00442BD6">
      <w:pPr>
        <w:pStyle w:val="ListParagraph"/>
        <w:numPr>
          <w:ilvl w:val="0"/>
          <w:numId w:val="24"/>
        </w:numPr>
        <w:rPr>
          <w:lang w:val="en-GB"/>
        </w:rPr>
      </w:pPr>
      <w:r w:rsidRPr="00F906F5">
        <w:rPr>
          <w:lang w:val="en-GB"/>
        </w:rPr>
        <w:t xml:space="preserve">In respect of </w:t>
      </w:r>
      <w:r w:rsidRPr="003142C9">
        <w:rPr>
          <w:smallCaps/>
          <w:lang w:val="en-GB"/>
        </w:rPr>
        <w:t>Index Components</w:t>
      </w:r>
      <w:r w:rsidRPr="00F906F5">
        <w:rPr>
          <w:lang w:val="en-GB"/>
        </w:rPr>
        <w:t xml:space="preserve"> whose initial weight </w:t>
      </w:r>
      <m:oMath>
        <m:sSubSup>
          <m:sSubSupPr>
            <m:ctrlPr>
              <w:rPr>
                <w:rFonts w:ascii="Cambria Math" w:hAnsi="Cambria Math"/>
                <w:i/>
              </w:rPr>
            </m:ctrlPr>
          </m:sSubSupPr>
          <m:e>
            <m:r>
              <w:rPr>
                <w:rFonts w:ascii="Cambria Math" w:hAnsi="Cambria Math"/>
              </w:rPr>
              <m:t>w</m:t>
            </m:r>
          </m:e>
          <m:sub>
            <m:r>
              <w:rPr>
                <w:rFonts w:ascii="Cambria Math" w:hAnsi="Cambria Math"/>
              </w:rPr>
              <m:t>i</m:t>
            </m:r>
          </m:sub>
          <m:sup>
            <m:r>
              <w:rPr>
                <w:rFonts w:ascii="Cambria Math" w:hAnsi="Cambria Math"/>
                <w:lang w:val="en-GB"/>
              </w:rPr>
              <m:t>*</m:t>
            </m:r>
          </m:sup>
        </m:sSubSup>
      </m:oMath>
      <w:r w:rsidRPr="00F906F5">
        <w:rPr>
          <w:lang w:val="en-GB"/>
        </w:rPr>
        <w:t xml:space="preserve"> is greater than </w:t>
      </w:r>
      <m:oMath>
        <m:sSub>
          <m:sSubPr>
            <m:ctrlPr>
              <w:rPr>
                <w:rFonts w:ascii="Cambria Math" w:hAnsi="Cambria Math"/>
                <w:i/>
              </w:rPr>
            </m:ctrlPr>
          </m:sSubPr>
          <m:e>
            <m:r>
              <w:rPr>
                <w:rFonts w:ascii="Cambria Math" w:hAnsi="Cambria Math"/>
              </w:rPr>
              <m:t>w</m:t>
            </m:r>
          </m:e>
          <m:sub>
            <m:r>
              <w:rPr>
                <w:rFonts w:ascii="Cambria Math" w:hAnsi="Cambria Math"/>
              </w:rPr>
              <m:t>i</m:t>
            </m:r>
            <m:r>
              <w:rPr>
                <w:rFonts w:ascii="Cambria Math" w:hAnsi="Cambria Math"/>
                <w:lang w:val="en-GB"/>
              </w:rPr>
              <m:t xml:space="preserve">, </m:t>
            </m:r>
            <m:r>
              <w:rPr>
                <w:rFonts w:ascii="Cambria Math" w:hAnsi="Cambria Math"/>
              </w:rPr>
              <m:t>max</m:t>
            </m:r>
          </m:sub>
        </m:sSub>
      </m:oMath>
      <w:r w:rsidRPr="00F906F5">
        <w:rPr>
          <w:lang w:val="en-GB"/>
        </w:rPr>
        <w:t xml:space="preserve">, the Target Index Weight </w:t>
      </w:r>
      <m:oMath>
        <m:sSub>
          <m:sSubPr>
            <m:ctrlPr>
              <w:rPr>
                <w:rFonts w:ascii="Cambria Math" w:hAnsi="Cambria Math"/>
                <w:i/>
              </w:rPr>
            </m:ctrlPr>
          </m:sSubPr>
          <m:e>
            <m:r>
              <w:rPr>
                <w:rFonts w:ascii="Cambria Math" w:hAnsi="Cambria Math"/>
              </w:rPr>
              <m:t>w</m:t>
            </m:r>
          </m:e>
          <m:sub>
            <m:r>
              <w:rPr>
                <w:rFonts w:ascii="Cambria Math" w:hAnsi="Cambria Math"/>
              </w:rPr>
              <m:t>i</m:t>
            </m:r>
          </m:sub>
        </m:sSub>
      </m:oMath>
      <w:r w:rsidRPr="00F906F5">
        <w:rPr>
          <w:lang w:val="en-GB"/>
        </w:rPr>
        <w:t xml:space="preserve"> shall be set to be equal to </w:t>
      </w:r>
      <m:oMath>
        <m:sSub>
          <m:sSubPr>
            <m:ctrlPr>
              <w:rPr>
                <w:rFonts w:ascii="Cambria Math" w:hAnsi="Cambria Math"/>
                <w:i/>
              </w:rPr>
            </m:ctrlPr>
          </m:sSubPr>
          <m:e>
            <m:r>
              <w:rPr>
                <w:rFonts w:ascii="Cambria Math" w:hAnsi="Cambria Math"/>
              </w:rPr>
              <m:t>w</m:t>
            </m:r>
          </m:e>
          <m:sub>
            <m:r>
              <w:rPr>
                <w:rFonts w:ascii="Cambria Math" w:hAnsi="Cambria Math"/>
              </w:rPr>
              <m:t>i</m:t>
            </m:r>
            <m:r>
              <w:rPr>
                <w:rFonts w:ascii="Cambria Math" w:hAnsi="Cambria Math"/>
                <w:lang w:val="en-GB"/>
              </w:rPr>
              <m:t xml:space="preserve">, </m:t>
            </m:r>
            <m:r>
              <w:rPr>
                <w:rFonts w:ascii="Cambria Math" w:hAnsi="Cambria Math"/>
              </w:rPr>
              <m:t>max</m:t>
            </m:r>
          </m:sub>
        </m:sSub>
      </m:oMath>
      <w:r w:rsidRPr="00F906F5">
        <w:rPr>
          <w:lang w:val="en-GB"/>
        </w:rPr>
        <w:t>, and the excess weight is then calculated as follows:</w:t>
      </w:r>
    </w:p>
    <w:p w14:paraId="386C0BB4" w14:textId="77777777" w:rsidR="00442BD6" w:rsidRDefault="000F0727" w:rsidP="00442BD6">
      <w:pPr>
        <w:ind w:left="708"/>
      </w:pPr>
      <m:oMathPara>
        <m:oMath>
          <m:sSub>
            <m:sSubPr>
              <m:ctrlPr>
                <w:rPr>
                  <w:rFonts w:ascii="Cambria Math" w:hAnsi="Cambria Math"/>
                  <w:i/>
                </w:rPr>
              </m:ctrlPr>
            </m:sSubPr>
            <m:e>
              <m:r>
                <w:rPr>
                  <w:rFonts w:ascii="Cambria Math" w:hAnsi="Cambria Math"/>
                </w:rPr>
                <m:t>w</m:t>
              </m:r>
            </m:e>
            <m:sub>
              <m:r>
                <w:rPr>
                  <w:rFonts w:ascii="Cambria Math" w:hAnsi="Cambria Math"/>
                </w:rPr>
                <m:t>i,  excess</m:t>
              </m:r>
            </m:sub>
          </m:sSub>
          <m:r>
            <w:rPr>
              <w:rFonts w:ascii="Cambria Math" w:hAnsi="Cambria Math"/>
            </w:rPr>
            <m:t xml:space="preserve"> = </m:t>
          </m:r>
          <m:sSubSup>
            <m:sSubSupPr>
              <m:ctrlPr>
                <w:rPr>
                  <w:rFonts w:ascii="Cambria Math" w:hAnsi="Cambria Math"/>
                  <w:i/>
                </w:rPr>
              </m:ctrlPr>
            </m:sSubSupPr>
            <m:e>
              <m:r>
                <w:rPr>
                  <w:rFonts w:ascii="Cambria Math" w:hAnsi="Cambria Math"/>
                </w:rPr>
                <m:t>w</m:t>
              </m:r>
            </m:e>
            <m:sub>
              <m:r>
                <w:rPr>
                  <w:rFonts w:ascii="Cambria Math" w:hAnsi="Cambria Math"/>
                </w:rPr>
                <m:t>i</m:t>
              </m:r>
            </m:sub>
            <m:sup>
              <m:r>
                <w:rPr>
                  <w:rFonts w:ascii="Cambria Math" w:hAnsi="Cambria Math"/>
                </w:rPr>
                <m:t>*</m:t>
              </m:r>
            </m:sup>
          </m:sSubSup>
          <m:r>
            <w:rPr>
              <w:rFonts w:ascii="Cambria Math" w:hAnsi="Cambria Math"/>
            </w:rPr>
            <m:t xml:space="preserve"> – </m:t>
          </m:r>
          <m:sSub>
            <m:sSubPr>
              <m:ctrlPr>
                <w:rPr>
                  <w:rFonts w:ascii="Cambria Math" w:hAnsi="Cambria Math"/>
                  <w:i/>
                </w:rPr>
              </m:ctrlPr>
            </m:sSubPr>
            <m:e>
              <m:r>
                <w:rPr>
                  <w:rFonts w:ascii="Cambria Math" w:hAnsi="Cambria Math"/>
                </w:rPr>
                <m:t>w</m:t>
              </m:r>
            </m:e>
            <m:sub>
              <m:r>
                <w:rPr>
                  <w:rFonts w:ascii="Cambria Math" w:hAnsi="Cambria Math"/>
                </w:rPr>
                <m:t>i, max</m:t>
              </m:r>
            </m:sub>
          </m:sSub>
        </m:oMath>
      </m:oMathPara>
    </w:p>
    <w:p w14:paraId="2409D83A" w14:textId="77777777" w:rsidR="00442BD6" w:rsidRPr="00F906F5" w:rsidRDefault="00442BD6" w:rsidP="00442BD6">
      <w:pPr>
        <w:ind w:left="708"/>
        <w:rPr>
          <w:lang w:val="en-GB"/>
        </w:rPr>
      </w:pPr>
      <w:r w:rsidRPr="00F906F5">
        <w:rPr>
          <w:lang w:val="en-GB"/>
        </w:rPr>
        <w:t xml:space="preserve">The cumulative excess weight is calculated as the sum of </w:t>
      </w:r>
      <m:oMath>
        <m:sSub>
          <m:sSubPr>
            <m:ctrlPr>
              <w:rPr>
                <w:rFonts w:ascii="Cambria Math" w:hAnsi="Cambria Math"/>
                <w:i/>
              </w:rPr>
            </m:ctrlPr>
          </m:sSubPr>
          <m:e>
            <m:r>
              <w:rPr>
                <w:rFonts w:ascii="Cambria Math" w:hAnsi="Cambria Math"/>
              </w:rPr>
              <m:t>w</m:t>
            </m:r>
          </m:e>
          <m:sub>
            <m:r>
              <w:rPr>
                <w:rFonts w:ascii="Cambria Math" w:hAnsi="Cambria Math"/>
              </w:rPr>
              <m:t>i</m:t>
            </m:r>
            <m:r>
              <w:rPr>
                <w:rFonts w:ascii="Cambria Math" w:hAnsi="Cambria Math"/>
                <w:lang w:val="en-GB"/>
              </w:rPr>
              <m:t xml:space="preserve">,  </m:t>
            </m:r>
            <m:r>
              <w:rPr>
                <w:rFonts w:ascii="Cambria Math" w:hAnsi="Cambria Math"/>
              </w:rPr>
              <m:t>excess</m:t>
            </m:r>
          </m:sub>
        </m:sSub>
      </m:oMath>
      <w:r w:rsidRPr="00F906F5">
        <w:rPr>
          <w:lang w:val="en-GB"/>
        </w:rPr>
        <w:t xml:space="preserve"> in respect of all </w:t>
      </w:r>
      <w:r w:rsidRPr="00D27D49">
        <w:rPr>
          <w:smallCaps/>
          <w:lang w:val="en-GB"/>
        </w:rPr>
        <w:t>Index Components</w:t>
      </w:r>
      <w:r w:rsidRPr="00F906F5">
        <w:rPr>
          <w:lang w:val="en-GB"/>
        </w:rPr>
        <w:t xml:space="preserve"> whose initial weight </w:t>
      </w:r>
      <m:oMath>
        <m:sSubSup>
          <m:sSubSupPr>
            <m:ctrlPr>
              <w:rPr>
                <w:rFonts w:ascii="Cambria Math" w:hAnsi="Cambria Math"/>
                <w:i/>
              </w:rPr>
            </m:ctrlPr>
          </m:sSubSupPr>
          <m:e>
            <m:r>
              <w:rPr>
                <w:rFonts w:ascii="Cambria Math" w:hAnsi="Cambria Math"/>
              </w:rPr>
              <m:t>w</m:t>
            </m:r>
          </m:e>
          <m:sub>
            <m:r>
              <w:rPr>
                <w:rFonts w:ascii="Cambria Math" w:hAnsi="Cambria Math"/>
              </w:rPr>
              <m:t>i</m:t>
            </m:r>
          </m:sub>
          <m:sup>
            <m:r>
              <w:rPr>
                <w:rFonts w:ascii="Cambria Math" w:hAnsi="Cambria Math"/>
                <w:lang w:val="en-GB"/>
              </w:rPr>
              <m:t>*</m:t>
            </m:r>
          </m:sup>
        </m:sSubSup>
      </m:oMath>
      <w:r w:rsidRPr="00F906F5">
        <w:rPr>
          <w:lang w:val="en-GB"/>
        </w:rPr>
        <w:t xml:space="preserve"> is  greater than </w:t>
      </w:r>
      <m:oMath>
        <m:sSub>
          <m:sSubPr>
            <m:ctrlPr>
              <w:rPr>
                <w:rFonts w:ascii="Cambria Math" w:hAnsi="Cambria Math"/>
                <w:i/>
              </w:rPr>
            </m:ctrlPr>
          </m:sSubPr>
          <m:e>
            <m:r>
              <w:rPr>
                <w:rFonts w:ascii="Cambria Math" w:hAnsi="Cambria Math"/>
              </w:rPr>
              <m:t>w</m:t>
            </m:r>
          </m:e>
          <m:sub>
            <m:r>
              <w:rPr>
                <w:rFonts w:ascii="Cambria Math" w:hAnsi="Cambria Math"/>
              </w:rPr>
              <m:t>i</m:t>
            </m:r>
            <m:r>
              <w:rPr>
                <w:rFonts w:ascii="Cambria Math" w:hAnsi="Cambria Math"/>
                <w:lang w:val="en-GB"/>
              </w:rPr>
              <m:t xml:space="preserve">, </m:t>
            </m:r>
            <m:r>
              <w:rPr>
                <w:rFonts w:ascii="Cambria Math" w:hAnsi="Cambria Math"/>
              </w:rPr>
              <m:t>max</m:t>
            </m:r>
          </m:sub>
        </m:sSub>
      </m:oMath>
      <w:r w:rsidRPr="00F906F5">
        <w:rPr>
          <w:lang w:val="en-GB"/>
        </w:rPr>
        <w:t xml:space="preserve">. </w:t>
      </w:r>
    </w:p>
    <w:p w14:paraId="28B8E8C3" w14:textId="77777777" w:rsidR="00442BD6" w:rsidRDefault="00442BD6" w:rsidP="00442BD6">
      <w:pPr>
        <w:rPr>
          <w:lang w:val="en-US" w:eastAsia="en-US"/>
        </w:rPr>
      </w:pPr>
      <w:r w:rsidRPr="00F906F5">
        <w:rPr>
          <w:lang w:val="en-GB"/>
        </w:rPr>
        <w:t xml:space="preserve">The cumulative excess weight is then proportionally distributed across all </w:t>
      </w:r>
      <w:r w:rsidRPr="00D27D49">
        <w:rPr>
          <w:smallCaps/>
          <w:lang w:val="en-GB"/>
        </w:rPr>
        <w:t>Index Components</w:t>
      </w:r>
      <w:r w:rsidRPr="00F906F5">
        <w:rPr>
          <w:lang w:val="en-GB"/>
        </w:rPr>
        <w:t xml:space="preserve"> whose initial weight </w:t>
      </w:r>
      <m:oMath>
        <m:sSubSup>
          <m:sSubSupPr>
            <m:ctrlPr>
              <w:rPr>
                <w:rFonts w:ascii="Cambria Math" w:hAnsi="Cambria Math"/>
                <w:i/>
              </w:rPr>
            </m:ctrlPr>
          </m:sSubSupPr>
          <m:e>
            <m:r>
              <w:rPr>
                <w:rFonts w:ascii="Cambria Math" w:hAnsi="Cambria Math"/>
              </w:rPr>
              <m:t>w</m:t>
            </m:r>
          </m:e>
          <m:sub>
            <m:r>
              <w:rPr>
                <w:rFonts w:ascii="Cambria Math" w:hAnsi="Cambria Math"/>
              </w:rPr>
              <m:t>i</m:t>
            </m:r>
          </m:sub>
          <m:sup>
            <m:r>
              <w:rPr>
                <w:rFonts w:ascii="Cambria Math" w:hAnsi="Cambria Math"/>
                <w:lang w:val="en-GB"/>
              </w:rPr>
              <m:t>*</m:t>
            </m:r>
          </m:sup>
        </m:sSubSup>
      </m:oMath>
      <w:r w:rsidRPr="00F906F5">
        <w:rPr>
          <w:lang w:val="en-GB"/>
        </w:rPr>
        <w:t xml:space="preserve">  is less than </w:t>
      </w:r>
      <m:oMath>
        <m:sSub>
          <m:sSubPr>
            <m:ctrlPr>
              <w:rPr>
                <w:rFonts w:ascii="Cambria Math" w:hAnsi="Cambria Math"/>
                <w:i/>
              </w:rPr>
            </m:ctrlPr>
          </m:sSubPr>
          <m:e>
            <m:r>
              <w:rPr>
                <w:rFonts w:ascii="Cambria Math" w:hAnsi="Cambria Math"/>
              </w:rPr>
              <m:t>w</m:t>
            </m:r>
          </m:e>
          <m:sub>
            <m:r>
              <w:rPr>
                <w:rFonts w:ascii="Cambria Math" w:hAnsi="Cambria Math"/>
              </w:rPr>
              <m:t>i</m:t>
            </m:r>
            <m:r>
              <w:rPr>
                <w:rFonts w:ascii="Cambria Math" w:hAnsi="Cambria Math"/>
                <w:lang w:val="en-GB"/>
              </w:rPr>
              <m:t xml:space="preserve">, </m:t>
            </m:r>
            <m:r>
              <w:rPr>
                <w:rFonts w:ascii="Cambria Math" w:hAnsi="Cambria Math"/>
              </w:rPr>
              <m:t>max</m:t>
            </m:r>
          </m:sub>
        </m:sSub>
      </m:oMath>
      <w:r w:rsidRPr="00F906F5">
        <w:rPr>
          <w:lang w:val="en-GB"/>
        </w:rPr>
        <w:t xml:space="preserve"> such that the above </w:t>
      </w:r>
      <w:r>
        <w:rPr>
          <w:lang w:val="en-GB"/>
        </w:rPr>
        <w:t xml:space="preserve">maximum weight cap </w:t>
      </w:r>
      <w:r w:rsidRPr="00F906F5">
        <w:rPr>
          <w:lang w:val="en-GB"/>
        </w:rPr>
        <w:t>condition is fulfilled.</w:t>
      </w:r>
      <w:r>
        <w:rPr>
          <w:lang w:val="en-GB"/>
        </w:rPr>
        <w:t xml:space="preserve"> This can be an iterative process until 100% weight is fully allocated and all conditions above are fulfilled.</w:t>
      </w:r>
      <w:r>
        <w:rPr>
          <w:lang w:val="en-US" w:eastAsia="en-US"/>
        </w:rPr>
        <w:t xml:space="preserve"> </w:t>
      </w:r>
    </w:p>
    <w:p w14:paraId="640CD674" w14:textId="30E6AFF9" w:rsidR="00E95DEA" w:rsidRDefault="00E95DEA" w:rsidP="008A6406">
      <w:pPr>
        <w:spacing w:before="0" w:after="160" w:line="259" w:lineRule="auto"/>
        <w:rPr>
          <w:b/>
          <w:bCs/>
          <w:lang w:val="en-US"/>
        </w:rPr>
      </w:pPr>
    </w:p>
    <w:p w14:paraId="4443FF1B" w14:textId="5444DE6D" w:rsidR="009C16F9" w:rsidRDefault="009C16F9" w:rsidP="009C16F9">
      <w:pPr>
        <w:spacing w:before="0" w:after="160" w:line="259" w:lineRule="auto"/>
        <w:rPr>
          <w:b/>
          <w:bCs/>
          <w:lang w:val="en-US"/>
        </w:rPr>
      </w:pPr>
      <w:r>
        <w:rPr>
          <w:b/>
          <w:bCs/>
          <w:lang w:val="en-US"/>
        </w:rPr>
        <w:t>3.1.</w:t>
      </w:r>
      <w:r>
        <w:rPr>
          <w:b/>
          <w:bCs/>
          <w:lang w:val="en-DE"/>
        </w:rPr>
        <w:t xml:space="preserve"> </w:t>
      </w:r>
      <w:r>
        <w:rPr>
          <w:b/>
          <w:bCs/>
          <w:lang w:val="en-US"/>
        </w:rPr>
        <w:t>ORDINARY REBALANCE</w:t>
      </w:r>
    </w:p>
    <w:p w14:paraId="7115E53E" w14:textId="13976859" w:rsidR="00450A81" w:rsidRDefault="00450A81" w:rsidP="009C16F9">
      <w:pPr>
        <w:spacing w:before="0" w:after="160" w:line="259" w:lineRule="auto"/>
        <w:rPr>
          <w:b/>
          <w:bCs/>
          <w:lang w:val="en-US"/>
        </w:rPr>
      </w:pPr>
      <w:r>
        <w:rPr>
          <w:b/>
          <w:bCs/>
          <w:lang w:val="en-US"/>
        </w:rPr>
        <w:t>From:</w:t>
      </w:r>
    </w:p>
    <w:p w14:paraId="328AE0A5" w14:textId="60F86D0D" w:rsidR="00450A81" w:rsidRPr="00450A81" w:rsidRDefault="00450A81" w:rsidP="009C16F9">
      <w:pPr>
        <w:spacing w:before="0" w:after="160" w:line="259" w:lineRule="auto"/>
        <w:rPr>
          <w:lang w:val="en-US"/>
        </w:rPr>
      </w:pPr>
      <w:r w:rsidRPr="00450A81">
        <w:rPr>
          <w:lang w:val="en-US"/>
        </w:rPr>
        <w:t>[…]</w:t>
      </w:r>
    </w:p>
    <w:p w14:paraId="013FAC41" w14:textId="77777777" w:rsidR="00450A81" w:rsidRDefault="00450A81" w:rsidP="00450A81">
      <w:pPr>
        <w:rPr>
          <w:lang w:val="en-US"/>
        </w:rPr>
      </w:pPr>
      <w:r>
        <w:rPr>
          <w:lang w:val="en-US"/>
        </w:rPr>
        <w:t xml:space="preserve">In addition, if the </w:t>
      </w:r>
      <w:r>
        <w:rPr>
          <w:smallCaps/>
          <w:lang w:val="en-US"/>
        </w:rPr>
        <w:t>Index Administrator</w:t>
      </w:r>
      <w:r>
        <w:rPr>
          <w:lang w:val="en-US"/>
        </w:rPr>
        <w:t xml:space="preserve"> determines that the </w:t>
      </w:r>
      <w:r w:rsidRPr="00251920">
        <w:rPr>
          <w:smallCaps/>
          <w:lang w:val="en-US"/>
        </w:rPr>
        <w:t>Index</w:t>
      </w:r>
      <w:r>
        <w:rPr>
          <w:lang w:val="en-US"/>
        </w:rPr>
        <w:t xml:space="preserve"> weight of any </w:t>
      </w:r>
      <w:r w:rsidRPr="000C0FE6">
        <w:rPr>
          <w:smallCaps/>
          <w:lang w:val="en-US"/>
        </w:rPr>
        <w:t>Index Component</w:t>
      </w:r>
      <w:r>
        <w:rPr>
          <w:lang w:val="en-US"/>
        </w:rPr>
        <w:t xml:space="preserve"> is greater than 15% on any </w:t>
      </w:r>
      <w:r w:rsidRPr="000C0FE6">
        <w:rPr>
          <w:smallCaps/>
          <w:lang w:val="en-US"/>
        </w:rPr>
        <w:t>Review Day</w:t>
      </w:r>
      <w:r>
        <w:rPr>
          <w:lang w:val="en-US"/>
        </w:rPr>
        <w:t xml:space="preserve">, then the index shall be reweighted on the </w:t>
      </w:r>
      <w:r w:rsidRPr="000C0FE6">
        <w:rPr>
          <w:smallCaps/>
          <w:lang w:val="en-US"/>
        </w:rPr>
        <w:t>Adjustment Day</w:t>
      </w:r>
      <w:r>
        <w:rPr>
          <w:lang w:val="en-US"/>
        </w:rPr>
        <w:t xml:space="preserve"> that occurs immediately after such </w:t>
      </w:r>
      <w:r>
        <w:rPr>
          <w:smallCaps/>
          <w:lang w:val="en-US"/>
        </w:rPr>
        <w:t>Review Day</w:t>
      </w:r>
      <w:r>
        <w:rPr>
          <w:lang w:val="en-US"/>
        </w:rPr>
        <w:t xml:space="preserve"> according to section 2.3 </w:t>
      </w:r>
      <w:r w:rsidRPr="00251920">
        <w:rPr>
          <w:smallCaps/>
          <w:lang w:val="en-US"/>
        </w:rPr>
        <w:t>Weighting</w:t>
      </w:r>
      <w:r>
        <w:rPr>
          <w:lang w:val="en-US"/>
        </w:rPr>
        <w:t xml:space="preserve"> </w:t>
      </w:r>
      <w:r w:rsidRPr="00251920">
        <w:rPr>
          <w:smallCaps/>
          <w:lang w:val="en-US"/>
        </w:rPr>
        <w:t>of</w:t>
      </w:r>
      <w:r>
        <w:rPr>
          <w:lang w:val="en-US"/>
        </w:rPr>
        <w:t xml:space="preserve"> </w:t>
      </w:r>
      <w:r w:rsidRPr="00251920">
        <w:rPr>
          <w:smallCaps/>
          <w:lang w:val="en-US"/>
        </w:rPr>
        <w:t>the</w:t>
      </w:r>
      <w:r>
        <w:rPr>
          <w:lang w:val="en-US"/>
        </w:rPr>
        <w:t xml:space="preserve"> </w:t>
      </w:r>
      <w:r w:rsidRPr="00251920">
        <w:rPr>
          <w:smallCaps/>
          <w:lang w:val="en-US"/>
        </w:rPr>
        <w:t>Index</w:t>
      </w:r>
      <w:r>
        <w:rPr>
          <w:lang w:val="en-US"/>
        </w:rPr>
        <w:t xml:space="preserve"> </w:t>
      </w:r>
      <w:r w:rsidRPr="00251920">
        <w:rPr>
          <w:smallCaps/>
          <w:lang w:val="en-US"/>
        </w:rPr>
        <w:t>Components</w:t>
      </w:r>
      <w:r>
        <w:rPr>
          <w:smallCaps/>
          <w:lang w:val="en-US"/>
        </w:rPr>
        <w:t xml:space="preserve">. </w:t>
      </w:r>
      <w:r w:rsidRPr="00251920">
        <w:rPr>
          <w:bCs/>
          <w:smallCaps/>
          <w:lang w:val="en-US"/>
        </w:rPr>
        <w:t>Average</w:t>
      </w:r>
      <w:r w:rsidRPr="00012455">
        <w:rPr>
          <w:rFonts w:ascii="Flama Semicondensed Medium" w:hAnsi="Flama Semicondensed Medium"/>
          <w:bCs/>
          <w:smallCaps/>
          <w:lang w:val="en-US"/>
        </w:rPr>
        <w:t xml:space="preserve"> </w:t>
      </w:r>
      <w:r w:rsidRPr="00251920">
        <w:rPr>
          <w:bCs/>
          <w:smallCaps/>
          <w:lang w:val="en-US"/>
        </w:rPr>
        <w:t>Daily</w:t>
      </w:r>
      <w:r w:rsidRPr="00012455">
        <w:rPr>
          <w:rFonts w:ascii="Flama Semicondensed Medium" w:hAnsi="Flama Semicondensed Medium"/>
          <w:bCs/>
          <w:smallCaps/>
          <w:lang w:val="en-US"/>
        </w:rPr>
        <w:t xml:space="preserve"> </w:t>
      </w:r>
      <w:r w:rsidRPr="00251920">
        <w:rPr>
          <w:bCs/>
          <w:smallCaps/>
          <w:lang w:val="en-US"/>
        </w:rPr>
        <w:t>Value</w:t>
      </w:r>
      <w:r w:rsidRPr="00012455">
        <w:rPr>
          <w:rFonts w:ascii="Flama Semicondensed Medium" w:hAnsi="Flama Semicondensed Medium"/>
          <w:bCs/>
          <w:smallCaps/>
          <w:lang w:val="en-US"/>
        </w:rPr>
        <w:t xml:space="preserve"> </w:t>
      </w:r>
      <w:r w:rsidRPr="00251920">
        <w:rPr>
          <w:bCs/>
          <w:smallCaps/>
          <w:lang w:val="en-US"/>
        </w:rPr>
        <w:t>Traded</w:t>
      </w:r>
      <w:r>
        <w:rPr>
          <w:rFonts w:ascii="Flama Semicondensed Medium" w:hAnsi="Flama Semicondensed Medium"/>
          <w:bCs/>
          <w:smallCaps/>
          <w:lang w:val="en-US"/>
        </w:rPr>
        <w:t xml:space="preserve"> </w:t>
      </w:r>
      <w:r>
        <w:rPr>
          <w:lang w:val="en-US"/>
        </w:rPr>
        <w:t xml:space="preserve">data will be based on the data available as of the </w:t>
      </w:r>
      <w:r>
        <w:rPr>
          <w:smallCaps/>
          <w:lang w:val="en-US"/>
        </w:rPr>
        <w:t>Review Day.</w:t>
      </w:r>
      <w:r>
        <w:rPr>
          <w:lang w:val="en-US"/>
        </w:rPr>
        <w:t xml:space="preserve">  </w:t>
      </w:r>
    </w:p>
    <w:p w14:paraId="12E70825" w14:textId="1C63EE18" w:rsidR="00450A81" w:rsidRPr="00450A81" w:rsidRDefault="00450A81" w:rsidP="009C16F9">
      <w:pPr>
        <w:spacing w:before="0" w:after="160" w:line="259" w:lineRule="auto"/>
        <w:rPr>
          <w:lang w:val="en-US"/>
        </w:rPr>
      </w:pPr>
      <w:r w:rsidRPr="00450A81">
        <w:rPr>
          <w:lang w:val="en-US"/>
        </w:rPr>
        <w:t>[…]</w:t>
      </w:r>
    </w:p>
    <w:p w14:paraId="08711E9B" w14:textId="3CD50C47" w:rsidR="00450A81" w:rsidRDefault="00450A81" w:rsidP="009C16F9">
      <w:pPr>
        <w:spacing w:before="0" w:after="160" w:line="259" w:lineRule="auto"/>
        <w:rPr>
          <w:b/>
          <w:bCs/>
          <w:lang w:val="en-US"/>
        </w:rPr>
      </w:pPr>
      <w:r>
        <w:rPr>
          <w:b/>
          <w:bCs/>
          <w:lang w:val="en-US"/>
        </w:rPr>
        <w:t>To:</w:t>
      </w:r>
    </w:p>
    <w:p w14:paraId="3E316BA4" w14:textId="3081EBB8" w:rsidR="009C16F9" w:rsidRPr="00450A81" w:rsidRDefault="00450A81" w:rsidP="009C16F9">
      <w:pPr>
        <w:spacing w:before="0" w:after="160" w:line="259" w:lineRule="auto"/>
        <w:rPr>
          <w:lang w:val="en-US"/>
        </w:rPr>
      </w:pPr>
      <w:r w:rsidRPr="00450A81">
        <w:rPr>
          <w:lang w:val="en-US"/>
        </w:rPr>
        <w:t>[…]</w:t>
      </w:r>
    </w:p>
    <w:p w14:paraId="1DA7E1D0" w14:textId="301A2C4E" w:rsidR="00450A81" w:rsidRDefault="00450A81" w:rsidP="00450A81">
      <w:pPr>
        <w:rPr>
          <w:lang w:val="en-US"/>
        </w:rPr>
      </w:pPr>
      <w:r>
        <w:rPr>
          <w:lang w:val="en-US"/>
        </w:rPr>
        <w:t xml:space="preserve">In addition, if the </w:t>
      </w:r>
      <w:r>
        <w:rPr>
          <w:smallCaps/>
          <w:lang w:val="en-US"/>
        </w:rPr>
        <w:t>Index Administrator</w:t>
      </w:r>
      <w:r>
        <w:rPr>
          <w:lang w:val="en-US"/>
        </w:rPr>
        <w:t xml:space="preserve"> determines that the </w:t>
      </w:r>
      <w:r w:rsidRPr="00251920">
        <w:rPr>
          <w:smallCaps/>
          <w:lang w:val="en-US"/>
        </w:rPr>
        <w:t>Index</w:t>
      </w:r>
      <w:r>
        <w:rPr>
          <w:lang w:val="en-US"/>
        </w:rPr>
        <w:t xml:space="preserve"> weight of any </w:t>
      </w:r>
      <w:r w:rsidRPr="000C0FE6">
        <w:rPr>
          <w:smallCaps/>
          <w:lang w:val="en-US"/>
        </w:rPr>
        <w:t>Index Component</w:t>
      </w:r>
      <w:r>
        <w:rPr>
          <w:lang w:val="en-US"/>
        </w:rPr>
        <w:t xml:space="preserve"> is greater than 15% on any </w:t>
      </w:r>
      <w:r w:rsidRPr="000C0FE6">
        <w:rPr>
          <w:smallCaps/>
          <w:lang w:val="en-US"/>
        </w:rPr>
        <w:t>Review Day</w:t>
      </w:r>
      <w:r>
        <w:rPr>
          <w:lang w:val="en-US"/>
        </w:rPr>
        <w:t xml:space="preserve">, then the index shall be reweighted on the </w:t>
      </w:r>
      <w:r w:rsidRPr="000C0FE6">
        <w:rPr>
          <w:smallCaps/>
          <w:lang w:val="en-US"/>
        </w:rPr>
        <w:t>Adjustment Day</w:t>
      </w:r>
      <w:r>
        <w:rPr>
          <w:lang w:val="en-US"/>
        </w:rPr>
        <w:t xml:space="preserve"> that occurs </w:t>
      </w:r>
      <w:r>
        <w:rPr>
          <w:lang w:val="en-US"/>
        </w:rPr>
        <w:lastRenderedPageBreak/>
        <w:t xml:space="preserve">immediately after such </w:t>
      </w:r>
      <w:r>
        <w:rPr>
          <w:smallCaps/>
          <w:lang w:val="en-US"/>
        </w:rPr>
        <w:t>Review Day</w:t>
      </w:r>
      <w:r>
        <w:rPr>
          <w:lang w:val="en-US"/>
        </w:rPr>
        <w:t xml:space="preserve"> according to section 2.3 </w:t>
      </w:r>
      <w:r w:rsidRPr="00251920">
        <w:rPr>
          <w:smallCaps/>
          <w:lang w:val="en-US"/>
        </w:rPr>
        <w:t>Weighting</w:t>
      </w:r>
      <w:r>
        <w:rPr>
          <w:lang w:val="en-US"/>
        </w:rPr>
        <w:t xml:space="preserve"> </w:t>
      </w:r>
      <w:r w:rsidRPr="00251920">
        <w:rPr>
          <w:smallCaps/>
          <w:lang w:val="en-US"/>
        </w:rPr>
        <w:t>of</w:t>
      </w:r>
      <w:r>
        <w:rPr>
          <w:lang w:val="en-US"/>
        </w:rPr>
        <w:t xml:space="preserve"> </w:t>
      </w:r>
      <w:r w:rsidRPr="00251920">
        <w:rPr>
          <w:smallCaps/>
          <w:lang w:val="en-US"/>
        </w:rPr>
        <w:t>the</w:t>
      </w:r>
      <w:r>
        <w:rPr>
          <w:lang w:val="en-US"/>
        </w:rPr>
        <w:t xml:space="preserve"> </w:t>
      </w:r>
      <w:r w:rsidRPr="00251920">
        <w:rPr>
          <w:smallCaps/>
          <w:lang w:val="en-US"/>
        </w:rPr>
        <w:t>Index</w:t>
      </w:r>
      <w:r>
        <w:rPr>
          <w:lang w:val="en-US"/>
        </w:rPr>
        <w:t xml:space="preserve"> </w:t>
      </w:r>
      <w:r w:rsidRPr="00251920">
        <w:rPr>
          <w:smallCaps/>
          <w:lang w:val="en-US"/>
        </w:rPr>
        <w:t>Components</w:t>
      </w:r>
      <w:r>
        <w:rPr>
          <w:smallCaps/>
          <w:lang w:val="en-US"/>
        </w:rPr>
        <w:t xml:space="preserve">. </w:t>
      </w:r>
      <w:r w:rsidRPr="00450A81">
        <w:rPr>
          <w:lang w:val="en-US"/>
        </w:rPr>
        <w:t>All relevant</w:t>
      </w:r>
      <w:r>
        <w:rPr>
          <w:bCs/>
          <w:smallCaps/>
          <w:lang w:val="en-US"/>
        </w:rPr>
        <w:t xml:space="preserve"> </w:t>
      </w:r>
      <w:r>
        <w:rPr>
          <w:lang w:val="en-US"/>
        </w:rPr>
        <w:t xml:space="preserve">data will be based on the data available as of the </w:t>
      </w:r>
      <w:r>
        <w:rPr>
          <w:smallCaps/>
          <w:lang w:val="en-US"/>
        </w:rPr>
        <w:t>Review Day.</w:t>
      </w:r>
      <w:r>
        <w:rPr>
          <w:lang w:val="en-US"/>
        </w:rPr>
        <w:t xml:space="preserve">  </w:t>
      </w:r>
    </w:p>
    <w:p w14:paraId="033CCAA3" w14:textId="76E055EA" w:rsidR="00450A81" w:rsidRPr="00450A81" w:rsidRDefault="00450A81" w:rsidP="009C16F9">
      <w:pPr>
        <w:spacing w:before="0" w:after="160" w:line="259" w:lineRule="auto"/>
        <w:rPr>
          <w:lang w:val="en-US"/>
        </w:rPr>
      </w:pPr>
      <w:r w:rsidRPr="00450A81">
        <w:rPr>
          <w:lang w:val="en-US"/>
        </w:rPr>
        <w:t>[…]</w:t>
      </w:r>
    </w:p>
    <w:p w14:paraId="1CF9B402" w14:textId="77777777" w:rsidR="009C16F9" w:rsidRPr="00E95DEA" w:rsidRDefault="009C16F9" w:rsidP="008A6406">
      <w:pPr>
        <w:spacing w:before="0" w:after="160" w:line="259" w:lineRule="auto"/>
        <w:rPr>
          <w:b/>
          <w:bCs/>
          <w:lang w:val="en-US"/>
        </w:rPr>
      </w:pPr>
    </w:p>
    <w:p w14:paraId="3D126362" w14:textId="1A41E8D3" w:rsidR="00223777" w:rsidRPr="00D727B4" w:rsidRDefault="00D727B4" w:rsidP="008A6406">
      <w:pPr>
        <w:spacing w:before="0" w:after="160" w:line="259" w:lineRule="auto"/>
        <w:rPr>
          <w:b/>
          <w:bCs/>
          <w:lang w:val="en-US"/>
        </w:rPr>
      </w:pPr>
      <w:r w:rsidRPr="00D727B4">
        <w:rPr>
          <w:b/>
          <w:bCs/>
          <w:lang w:val="en-US"/>
        </w:rPr>
        <w:t>6. DEFINITIONS</w:t>
      </w:r>
    </w:p>
    <w:p w14:paraId="1A83094B" w14:textId="77777777" w:rsidR="001B7CED" w:rsidRPr="001B7CED" w:rsidRDefault="001B7CED" w:rsidP="00C369DE">
      <w:pPr>
        <w:pStyle w:val="ListParagraph"/>
        <w:numPr>
          <w:ilvl w:val="0"/>
          <w:numId w:val="27"/>
        </w:numPr>
        <w:ind w:left="284" w:hanging="284"/>
        <w:rPr>
          <w:b/>
          <w:bCs/>
          <w:lang w:val="en-US"/>
        </w:rPr>
      </w:pPr>
      <w:r w:rsidRPr="00C369DE">
        <w:rPr>
          <w:rFonts w:ascii="Flama Semicondensed Medium" w:hAnsi="Flama Semicondensed Medium"/>
          <w:smallCaps/>
          <w:lang w:val="en-US"/>
        </w:rPr>
        <w:t>Component</w:t>
      </w:r>
      <w:r w:rsidRPr="00C369DE">
        <w:rPr>
          <w:rFonts w:ascii="Flama Semicondensed Medium" w:hAnsi="Flama Semicondensed Medium"/>
          <w:lang w:val="en-US"/>
        </w:rPr>
        <w:t xml:space="preserve"> </w:t>
      </w:r>
      <w:r w:rsidRPr="00C369DE">
        <w:rPr>
          <w:rFonts w:ascii="Flama Semicondensed Medium" w:hAnsi="Flama Semicondensed Medium"/>
          <w:smallCaps/>
          <w:lang w:val="en-US"/>
        </w:rPr>
        <w:t>Supplier</w:t>
      </w:r>
      <w:r w:rsidRPr="001B7CED">
        <w:rPr>
          <w:b/>
          <w:bCs/>
          <w:lang w:val="en-US"/>
        </w:rPr>
        <w:t xml:space="preserve"> </w:t>
      </w:r>
    </w:p>
    <w:p w14:paraId="328EA859" w14:textId="30F3F822" w:rsidR="00D727B4" w:rsidRPr="00C369DE" w:rsidRDefault="00D727B4" w:rsidP="00D727B4">
      <w:pPr>
        <w:rPr>
          <w:b/>
          <w:bCs/>
          <w:lang w:val="en-US"/>
        </w:rPr>
      </w:pPr>
      <w:r w:rsidRPr="00C369DE">
        <w:rPr>
          <w:b/>
          <w:bCs/>
          <w:lang w:val="en-US"/>
        </w:rPr>
        <w:t>From:</w:t>
      </w:r>
    </w:p>
    <w:p w14:paraId="25DD1DA6" w14:textId="77777777" w:rsidR="00D727B4" w:rsidRPr="00D727B4" w:rsidRDefault="00D727B4" w:rsidP="00D727B4">
      <w:pPr>
        <w:rPr>
          <w:lang w:val="en-US"/>
        </w:rPr>
      </w:pPr>
      <w:r w:rsidRPr="00D727B4">
        <w:rPr>
          <w:lang w:val="en-US"/>
        </w:rPr>
        <w:t>“COMPONENT SUPPLIER” means a company that has an Equipment Type specified other than “Solar PV Modules”, “Wind Turbine” and/or “Wind Turbine; Solar PV Modules” only.</w:t>
      </w:r>
    </w:p>
    <w:p w14:paraId="2EC72F70" w14:textId="77777777" w:rsidR="00D727B4" w:rsidRPr="00D727B4" w:rsidRDefault="00D727B4" w:rsidP="00D727B4">
      <w:pPr>
        <w:rPr>
          <w:b/>
          <w:bCs/>
          <w:lang w:val="en-US"/>
        </w:rPr>
      </w:pPr>
      <w:r w:rsidRPr="00D727B4">
        <w:rPr>
          <w:b/>
          <w:bCs/>
          <w:lang w:val="en-US"/>
        </w:rPr>
        <w:t>To:</w:t>
      </w:r>
    </w:p>
    <w:p w14:paraId="2A73B621" w14:textId="507749B1" w:rsidR="00D727B4" w:rsidRDefault="00D727B4" w:rsidP="00D727B4">
      <w:pPr>
        <w:rPr>
          <w:lang w:val="en-US"/>
        </w:rPr>
      </w:pPr>
      <w:r w:rsidRPr="00FD4408">
        <w:rPr>
          <w:rFonts w:ascii="Flama Semicondensed Medium" w:hAnsi="Flama Semicondensed Medium"/>
          <w:lang w:val="en-US"/>
        </w:rPr>
        <w:t>“</w:t>
      </w:r>
      <w:r w:rsidRPr="00D50F76">
        <w:rPr>
          <w:rFonts w:ascii="Flama Semicondensed Medium" w:hAnsi="Flama Semicondensed Medium"/>
          <w:smallCaps/>
          <w:lang w:val="en-US"/>
        </w:rPr>
        <w:t>Component</w:t>
      </w:r>
      <w:r w:rsidRPr="00FD4408">
        <w:rPr>
          <w:rFonts w:ascii="Flama Semicondensed Medium" w:hAnsi="Flama Semicondensed Medium"/>
          <w:lang w:val="en-US"/>
        </w:rPr>
        <w:t xml:space="preserve"> </w:t>
      </w:r>
      <w:r w:rsidRPr="00D50F76">
        <w:rPr>
          <w:rFonts w:ascii="Flama Semicondensed Medium" w:hAnsi="Flama Semicondensed Medium"/>
          <w:smallCaps/>
          <w:lang w:val="en-US"/>
        </w:rPr>
        <w:t>Supplier</w:t>
      </w:r>
      <w:r w:rsidRPr="00FD4408">
        <w:rPr>
          <w:rFonts w:ascii="Flama Semicondensed Medium" w:hAnsi="Flama Semicondensed Medium"/>
          <w:lang w:val="en-US"/>
        </w:rPr>
        <w:t>”</w:t>
      </w:r>
      <w:r w:rsidRPr="00FD4408">
        <w:rPr>
          <w:lang w:val="en-US"/>
        </w:rPr>
        <w:t xml:space="preserve"> means a company that has an Equipment Type specified</w:t>
      </w:r>
      <w:r>
        <w:rPr>
          <w:lang w:val="en-US"/>
        </w:rPr>
        <w:t xml:space="preserve"> other than “Solar PV Modules”, “Wind Turbine”, “Wind Turbine; Solar PV Modules”, “</w:t>
      </w:r>
      <w:proofErr w:type="spellStart"/>
      <w:r>
        <w:rPr>
          <w:lang w:val="en-US"/>
        </w:rPr>
        <w:t>Electrolyser</w:t>
      </w:r>
      <w:proofErr w:type="spellEnd"/>
      <w:r>
        <w:rPr>
          <w:lang w:val="en-US"/>
        </w:rPr>
        <w:t>”, “Fuel Cells” only and/or the company is not an “</w:t>
      </w:r>
      <w:r>
        <w:rPr>
          <w:rFonts w:ascii="Flama Semicondensed Medium" w:hAnsi="Flama Semicondensed Medium"/>
          <w:smallCaps/>
          <w:lang w:val="en-US"/>
        </w:rPr>
        <w:t>Energy Storage Provider</w:t>
      </w:r>
      <w:r>
        <w:rPr>
          <w:lang w:val="en-US"/>
        </w:rPr>
        <w:t>”.</w:t>
      </w:r>
    </w:p>
    <w:p w14:paraId="0B52DB1A" w14:textId="77777777" w:rsidR="00D727B4" w:rsidRPr="00FD4408" w:rsidRDefault="00D727B4" w:rsidP="00D727B4">
      <w:pPr>
        <w:rPr>
          <w:lang w:val="en-US"/>
        </w:rPr>
      </w:pPr>
    </w:p>
    <w:p w14:paraId="5A4A4117" w14:textId="77777777" w:rsidR="001B7CED" w:rsidRDefault="001B7CED" w:rsidP="00C369DE">
      <w:pPr>
        <w:pStyle w:val="ListParagraph"/>
        <w:numPr>
          <w:ilvl w:val="0"/>
          <w:numId w:val="27"/>
        </w:numPr>
        <w:ind w:left="284" w:hanging="284"/>
        <w:rPr>
          <w:lang w:val="en-US"/>
        </w:rPr>
      </w:pPr>
      <w:r w:rsidRPr="00D50F76">
        <w:rPr>
          <w:rFonts w:ascii="Flama Semicondensed Medium" w:hAnsi="Flama Semicondensed Medium"/>
          <w:smallCaps/>
          <w:lang w:val="en-US"/>
        </w:rPr>
        <w:t>Energy</w:t>
      </w:r>
      <w:r w:rsidRPr="00FD4408">
        <w:rPr>
          <w:rFonts w:ascii="Flama Semicondensed Medium" w:hAnsi="Flama Semicondensed Medium"/>
          <w:lang w:val="en-US"/>
        </w:rPr>
        <w:t xml:space="preserve"> </w:t>
      </w:r>
      <w:r w:rsidRPr="00D50F76">
        <w:rPr>
          <w:rFonts w:ascii="Flama Semicondensed Medium" w:hAnsi="Flama Semicondensed Medium"/>
          <w:smallCaps/>
          <w:lang w:val="en-US"/>
        </w:rPr>
        <w:t>Storage</w:t>
      </w:r>
      <w:r w:rsidRPr="00FD4408">
        <w:rPr>
          <w:rFonts w:ascii="Flama Semicondensed Medium" w:hAnsi="Flama Semicondensed Medium"/>
          <w:lang w:val="en-US"/>
        </w:rPr>
        <w:t xml:space="preserve"> </w:t>
      </w:r>
      <w:r w:rsidRPr="00D50F76">
        <w:rPr>
          <w:rFonts w:ascii="Flama Semicondensed Medium" w:hAnsi="Flama Semicondensed Medium"/>
          <w:smallCaps/>
          <w:lang w:val="en-US"/>
        </w:rPr>
        <w:t>Provider</w:t>
      </w:r>
      <w:r>
        <w:rPr>
          <w:lang w:val="en-US"/>
        </w:rPr>
        <w:t xml:space="preserve"> </w:t>
      </w:r>
    </w:p>
    <w:p w14:paraId="4F23B068" w14:textId="790BF1DA" w:rsidR="00223777" w:rsidRPr="00C369DE" w:rsidRDefault="00D727B4" w:rsidP="008A6406">
      <w:pPr>
        <w:spacing w:before="0" w:after="160" w:line="259" w:lineRule="auto"/>
        <w:rPr>
          <w:b/>
          <w:bCs/>
          <w:lang w:val="en-US"/>
        </w:rPr>
      </w:pPr>
      <w:r w:rsidRPr="00C369DE">
        <w:rPr>
          <w:b/>
          <w:bCs/>
          <w:lang w:val="en-US"/>
        </w:rPr>
        <w:t>From:</w:t>
      </w:r>
    </w:p>
    <w:p w14:paraId="111FB784" w14:textId="77777777" w:rsidR="00D727B4" w:rsidRPr="00D727B4" w:rsidRDefault="00D727B4" w:rsidP="00D727B4">
      <w:pPr>
        <w:rPr>
          <w:lang w:val="en-US"/>
        </w:rPr>
      </w:pPr>
      <w:r w:rsidRPr="00FD4408">
        <w:rPr>
          <w:rFonts w:ascii="Flama Semicondensed Medium" w:hAnsi="Flama Semicondensed Medium"/>
          <w:lang w:val="en-US"/>
        </w:rPr>
        <w:t>“</w:t>
      </w:r>
      <w:r w:rsidRPr="00D50F76">
        <w:rPr>
          <w:rFonts w:ascii="Flama Semicondensed Medium" w:hAnsi="Flama Semicondensed Medium"/>
          <w:smallCaps/>
          <w:lang w:val="en-US"/>
        </w:rPr>
        <w:t>Energy</w:t>
      </w:r>
      <w:r w:rsidRPr="00FD4408">
        <w:rPr>
          <w:rFonts w:ascii="Flama Semicondensed Medium" w:hAnsi="Flama Semicondensed Medium"/>
          <w:lang w:val="en-US"/>
        </w:rPr>
        <w:t xml:space="preserve"> </w:t>
      </w:r>
      <w:r w:rsidRPr="00D50F76">
        <w:rPr>
          <w:rFonts w:ascii="Flama Semicondensed Medium" w:hAnsi="Flama Semicondensed Medium"/>
          <w:smallCaps/>
          <w:lang w:val="en-US"/>
        </w:rPr>
        <w:t>Storage</w:t>
      </w:r>
      <w:r w:rsidRPr="00FD4408">
        <w:rPr>
          <w:rFonts w:ascii="Flama Semicondensed Medium" w:hAnsi="Flama Semicondensed Medium"/>
          <w:lang w:val="en-US"/>
        </w:rPr>
        <w:t xml:space="preserve"> </w:t>
      </w:r>
      <w:r w:rsidRPr="00D50F76">
        <w:rPr>
          <w:rFonts w:ascii="Flama Semicondensed Medium" w:hAnsi="Flama Semicondensed Medium"/>
          <w:smallCaps/>
          <w:lang w:val="en-US"/>
        </w:rPr>
        <w:t>Provider</w:t>
      </w:r>
      <w:r w:rsidRPr="00FD4408">
        <w:rPr>
          <w:rFonts w:ascii="Flama Semicondensed Medium" w:hAnsi="Flama Semicondensed Medium"/>
          <w:lang w:val="en-US"/>
        </w:rPr>
        <w:t>”</w:t>
      </w:r>
      <w:r w:rsidRPr="00FD4408">
        <w:rPr>
          <w:lang w:val="en-US"/>
        </w:rPr>
        <w:t>, means any company whose Equipment type i</w:t>
      </w:r>
      <w:r>
        <w:rPr>
          <w:lang w:val="en-US"/>
        </w:rPr>
        <w:t>ncludes</w:t>
      </w:r>
      <w:r w:rsidRPr="00FD4408">
        <w:rPr>
          <w:lang w:val="en-US"/>
        </w:rPr>
        <w:t xml:space="preserve"> “Energy Storage System” and/or the company’s Segment i</w:t>
      </w:r>
      <w:r>
        <w:rPr>
          <w:lang w:val="en-US"/>
        </w:rPr>
        <w:t>ncludes</w:t>
      </w:r>
      <w:r w:rsidRPr="00FD4408">
        <w:rPr>
          <w:lang w:val="en-US"/>
        </w:rPr>
        <w:t xml:space="preserve"> “Energy Storage”.</w:t>
      </w:r>
    </w:p>
    <w:p w14:paraId="08CFF1A3" w14:textId="77777777" w:rsidR="00D727B4" w:rsidRPr="00D727B4" w:rsidRDefault="00D727B4" w:rsidP="00D727B4">
      <w:pPr>
        <w:rPr>
          <w:b/>
          <w:bCs/>
          <w:lang w:val="en-US"/>
        </w:rPr>
      </w:pPr>
      <w:r w:rsidRPr="00D727B4">
        <w:rPr>
          <w:b/>
          <w:bCs/>
          <w:lang w:val="en-US"/>
        </w:rPr>
        <w:t>To:</w:t>
      </w:r>
    </w:p>
    <w:p w14:paraId="2C75B3E9" w14:textId="3F7ABA8C" w:rsidR="00D727B4" w:rsidRPr="00D727B4" w:rsidRDefault="00D727B4" w:rsidP="00D727B4">
      <w:pPr>
        <w:rPr>
          <w:lang w:val="en-US"/>
        </w:rPr>
      </w:pPr>
      <w:r w:rsidRPr="00FD4408">
        <w:rPr>
          <w:rFonts w:ascii="Flama Semicondensed Medium" w:hAnsi="Flama Semicondensed Medium"/>
          <w:lang w:val="en-US"/>
        </w:rPr>
        <w:t>“</w:t>
      </w:r>
      <w:r w:rsidRPr="00D50F76">
        <w:rPr>
          <w:rFonts w:ascii="Flama Semicondensed Medium" w:hAnsi="Flama Semicondensed Medium"/>
          <w:smallCaps/>
          <w:lang w:val="en-US"/>
        </w:rPr>
        <w:t>Energy</w:t>
      </w:r>
      <w:r w:rsidRPr="00FD4408">
        <w:rPr>
          <w:rFonts w:ascii="Flama Semicondensed Medium" w:hAnsi="Flama Semicondensed Medium"/>
          <w:lang w:val="en-US"/>
        </w:rPr>
        <w:t xml:space="preserve"> </w:t>
      </w:r>
      <w:r w:rsidRPr="00D50F76">
        <w:rPr>
          <w:rFonts w:ascii="Flama Semicondensed Medium" w:hAnsi="Flama Semicondensed Medium"/>
          <w:smallCaps/>
          <w:lang w:val="en-US"/>
        </w:rPr>
        <w:t>Storage</w:t>
      </w:r>
      <w:r w:rsidRPr="00FD4408">
        <w:rPr>
          <w:rFonts w:ascii="Flama Semicondensed Medium" w:hAnsi="Flama Semicondensed Medium"/>
          <w:lang w:val="en-US"/>
        </w:rPr>
        <w:t xml:space="preserve"> </w:t>
      </w:r>
      <w:r w:rsidRPr="00D50F76">
        <w:rPr>
          <w:rFonts w:ascii="Flama Semicondensed Medium" w:hAnsi="Flama Semicondensed Medium"/>
          <w:smallCaps/>
          <w:lang w:val="en-US"/>
        </w:rPr>
        <w:t>Provider</w:t>
      </w:r>
      <w:r w:rsidRPr="00FD4408">
        <w:rPr>
          <w:rFonts w:ascii="Flama Semicondensed Medium" w:hAnsi="Flama Semicondensed Medium"/>
          <w:lang w:val="en-US"/>
        </w:rPr>
        <w:t>”</w:t>
      </w:r>
      <w:r w:rsidRPr="00D727B4">
        <w:rPr>
          <w:lang w:val="en-US"/>
        </w:rPr>
        <w:t>, means any company whose Equipment type is “Energy Storage System” and the company’s Segment is “Energy Storage”.</w:t>
      </w:r>
    </w:p>
    <w:p w14:paraId="0FF6FB9F" w14:textId="71725D31" w:rsidR="00D727B4" w:rsidRDefault="00D727B4" w:rsidP="008A6406">
      <w:pPr>
        <w:spacing w:before="0" w:after="160" w:line="259" w:lineRule="auto"/>
        <w:rPr>
          <w:lang w:val="en-US"/>
        </w:rPr>
      </w:pPr>
    </w:p>
    <w:p w14:paraId="20D40FB3" w14:textId="77777777" w:rsidR="001B7CED" w:rsidRDefault="001B7CED" w:rsidP="00C369DE">
      <w:pPr>
        <w:pStyle w:val="ListParagraph"/>
        <w:numPr>
          <w:ilvl w:val="0"/>
          <w:numId w:val="27"/>
        </w:numPr>
        <w:ind w:left="284" w:hanging="284"/>
        <w:rPr>
          <w:rFonts w:ascii="Flama Semicondensed Medium" w:hAnsi="Flama Semicondensed Medium"/>
          <w:lang w:val="en-US"/>
        </w:rPr>
      </w:pPr>
      <w:r w:rsidRPr="004C201A">
        <w:rPr>
          <w:rFonts w:ascii="Flama Semicondensed Medium" w:hAnsi="Flama Semicondensed Medium"/>
          <w:smallCaps/>
          <w:lang w:val="en-US"/>
        </w:rPr>
        <w:t>Number</w:t>
      </w:r>
      <w:r w:rsidRPr="004C201A">
        <w:rPr>
          <w:rFonts w:ascii="Flama Semicondensed Medium" w:hAnsi="Flama Semicondensed Medium"/>
          <w:lang w:val="en-US"/>
        </w:rPr>
        <w:t xml:space="preserve"> </w:t>
      </w:r>
      <w:r w:rsidRPr="004C201A">
        <w:rPr>
          <w:rFonts w:ascii="Flama Semicondensed Medium" w:hAnsi="Flama Semicondensed Medium"/>
          <w:smallCaps/>
          <w:lang w:val="en-US"/>
        </w:rPr>
        <w:t>of</w:t>
      </w:r>
      <w:r w:rsidRPr="004C201A">
        <w:rPr>
          <w:rFonts w:ascii="Flama Semicondensed Medium" w:hAnsi="Flama Semicondensed Medium"/>
          <w:lang w:val="en-US"/>
        </w:rPr>
        <w:t xml:space="preserve"> </w:t>
      </w:r>
      <w:r w:rsidRPr="004C201A">
        <w:rPr>
          <w:rFonts w:ascii="Flama Semicondensed Medium" w:hAnsi="Flama Semicondensed Medium"/>
          <w:smallCaps/>
          <w:lang w:val="en-US"/>
        </w:rPr>
        <w:t>Tenders</w:t>
      </w:r>
    </w:p>
    <w:p w14:paraId="4B6E0AE6" w14:textId="62BDA79D" w:rsidR="00D727B4" w:rsidRPr="00C369DE" w:rsidRDefault="00D727B4" w:rsidP="008A6406">
      <w:pPr>
        <w:spacing w:before="0" w:after="160" w:line="259" w:lineRule="auto"/>
        <w:rPr>
          <w:b/>
          <w:bCs/>
          <w:lang w:val="en-US"/>
        </w:rPr>
      </w:pPr>
      <w:r w:rsidRPr="00C369DE">
        <w:rPr>
          <w:b/>
          <w:bCs/>
          <w:lang w:val="en-US"/>
        </w:rPr>
        <w:t>From:</w:t>
      </w:r>
    </w:p>
    <w:p w14:paraId="56136710" w14:textId="77777777" w:rsidR="00D727B4" w:rsidRDefault="00D727B4" w:rsidP="00D727B4">
      <w:pPr>
        <w:rPr>
          <w:lang w:val="en-US"/>
        </w:rPr>
      </w:pPr>
      <w:r w:rsidRPr="004C201A">
        <w:rPr>
          <w:rFonts w:ascii="Flama Semicondensed Medium" w:hAnsi="Flama Semicondensed Medium"/>
          <w:lang w:val="en-US"/>
        </w:rPr>
        <w:t>“</w:t>
      </w:r>
      <w:r w:rsidRPr="004C201A">
        <w:rPr>
          <w:rFonts w:ascii="Flama Semicondensed Medium" w:hAnsi="Flama Semicondensed Medium"/>
          <w:smallCaps/>
          <w:lang w:val="en-US"/>
        </w:rPr>
        <w:t>Number</w:t>
      </w:r>
      <w:r w:rsidRPr="004C201A">
        <w:rPr>
          <w:rFonts w:ascii="Flama Semicondensed Medium" w:hAnsi="Flama Semicondensed Medium"/>
          <w:lang w:val="en-US"/>
        </w:rPr>
        <w:t xml:space="preserve"> </w:t>
      </w:r>
      <w:r w:rsidRPr="004C201A">
        <w:rPr>
          <w:rFonts w:ascii="Flama Semicondensed Medium" w:hAnsi="Flama Semicondensed Medium"/>
          <w:smallCaps/>
          <w:lang w:val="en-US"/>
        </w:rPr>
        <w:t>of</w:t>
      </w:r>
      <w:r w:rsidRPr="004C201A">
        <w:rPr>
          <w:rFonts w:ascii="Flama Semicondensed Medium" w:hAnsi="Flama Semicondensed Medium"/>
          <w:lang w:val="en-US"/>
        </w:rPr>
        <w:t xml:space="preserve"> </w:t>
      </w:r>
      <w:r w:rsidRPr="004C201A">
        <w:rPr>
          <w:rFonts w:ascii="Flama Semicondensed Medium" w:hAnsi="Flama Semicondensed Medium"/>
          <w:smallCaps/>
          <w:lang w:val="en-US"/>
        </w:rPr>
        <w:t>Tenders</w:t>
      </w:r>
      <w:r w:rsidRPr="004C201A">
        <w:rPr>
          <w:rFonts w:ascii="Flama Semicondensed Medium" w:hAnsi="Flama Semicondensed Medium"/>
          <w:lang w:val="en-US"/>
        </w:rPr>
        <w:t>”</w:t>
      </w:r>
      <w:r w:rsidRPr="004C201A">
        <w:rPr>
          <w:lang w:val="en-US"/>
        </w:rPr>
        <w:t>, means, in respect of a Security and an</w:t>
      </w:r>
      <w:r w:rsidRPr="004C201A">
        <w:rPr>
          <w:smallCaps/>
          <w:lang w:val="en-US"/>
        </w:rPr>
        <w:t xml:space="preserve"> Index Business Day</w:t>
      </w:r>
      <w:r w:rsidRPr="004C201A">
        <w:rPr>
          <w:lang w:val="en-US"/>
        </w:rPr>
        <w:t xml:space="preserve">, the cumulative sum of number of </w:t>
      </w:r>
      <w:r w:rsidRPr="004C201A">
        <w:rPr>
          <w:smallCaps/>
          <w:lang w:val="en-US"/>
        </w:rPr>
        <w:t xml:space="preserve">Quarterly </w:t>
      </w:r>
      <w:r w:rsidRPr="00930FD8">
        <w:rPr>
          <w:smallCaps/>
          <w:lang w:val="en-US"/>
        </w:rPr>
        <w:t>Tenders/Contracts</w:t>
      </w:r>
      <w:r w:rsidRPr="00930FD8">
        <w:rPr>
          <w:lang w:val="en-US"/>
        </w:rPr>
        <w:t xml:space="preserve"> over 20 quarters prior to and including the immediately preceding quarter. If the </w:t>
      </w:r>
      <w:r w:rsidRPr="00930FD8">
        <w:rPr>
          <w:smallCaps/>
          <w:lang w:val="en-US"/>
        </w:rPr>
        <w:t xml:space="preserve">Quarterly Tenders/Contracts </w:t>
      </w:r>
      <w:r w:rsidRPr="00930FD8">
        <w:rPr>
          <w:lang w:val="en-US"/>
        </w:rPr>
        <w:t xml:space="preserve">of such Security as of the immediately preceding quarter is unavailable or equal to zero, then the </w:t>
      </w:r>
      <w:r w:rsidRPr="00930FD8">
        <w:rPr>
          <w:smallCaps/>
          <w:lang w:val="en-US"/>
        </w:rPr>
        <w:t>Number of Tenders</w:t>
      </w:r>
      <w:r w:rsidRPr="00930FD8">
        <w:rPr>
          <w:lang w:val="en-US"/>
        </w:rPr>
        <w:t xml:space="preserve"> shall be equal to the </w:t>
      </w:r>
      <w:r w:rsidRPr="00930FD8">
        <w:rPr>
          <w:smallCaps/>
          <w:lang w:val="en-US"/>
        </w:rPr>
        <w:t>Number of Tenders</w:t>
      </w:r>
      <w:r w:rsidRPr="00930FD8">
        <w:rPr>
          <w:lang w:val="en-US"/>
        </w:rPr>
        <w:t xml:space="preserve"> determined as of the most recent quarter, within the preceding 11 quarters, when the </w:t>
      </w:r>
      <w:r w:rsidRPr="00930FD8">
        <w:rPr>
          <w:smallCaps/>
          <w:lang w:val="en-US"/>
        </w:rPr>
        <w:t>Quarterly Tenders/Contracts</w:t>
      </w:r>
      <w:r w:rsidRPr="00930FD8">
        <w:rPr>
          <w:lang w:val="en-US"/>
        </w:rPr>
        <w:t xml:space="preserve"> was not equal to zero. Notwithstanding</w:t>
      </w:r>
      <w:r w:rsidRPr="004C201A">
        <w:rPr>
          <w:lang w:val="en-US"/>
        </w:rPr>
        <w:t xml:space="preserve"> the above, if the </w:t>
      </w:r>
      <w:r w:rsidRPr="004C201A">
        <w:rPr>
          <w:smallCaps/>
          <w:lang w:val="en-US"/>
        </w:rPr>
        <w:t xml:space="preserve">Quarterly Tenders/Contracts </w:t>
      </w:r>
      <w:r w:rsidRPr="004C201A">
        <w:rPr>
          <w:lang w:val="en-US"/>
        </w:rPr>
        <w:t xml:space="preserve">of such Security was equal zero consecutively for 12 quarters prior to and including the immediately preceding quarter, then the </w:t>
      </w:r>
      <w:r w:rsidRPr="004C201A">
        <w:rPr>
          <w:smallCaps/>
          <w:lang w:val="en-US"/>
        </w:rPr>
        <w:t xml:space="preserve">Number of Tenders </w:t>
      </w:r>
      <w:r w:rsidRPr="004C201A">
        <w:rPr>
          <w:lang w:val="en-US"/>
        </w:rPr>
        <w:t xml:space="preserve">in respect of such </w:t>
      </w:r>
      <w:r w:rsidRPr="004C201A">
        <w:rPr>
          <w:smallCaps/>
          <w:lang w:val="en-US"/>
        </w:rPr>
        <w:t>Index Business Day</w:t>
      </w:r>
      <w:r w:rsidRPr="004C201A">
        <w:rPr>
          <w:lang w:val="en-US"/>
        </w:rPr>
        <w:t xml:space="preserve"> shall be deemed to be equal to zero.</w:t>
      </w:r>
    </w:p>
    <w:p w14:paraId="4165ACD3" w14:textId="77777777" w:rsidR="00D727B4" w:rsidRPr="00D727B4" w:rsidRDefault="00D727B4" w:rsidP="00D727B4">
      <w:pPr>
        <w:rPr>
          <w:b/>
          <w:bCs/>
          <w:lang w:val="en-US"/>
        </w:rPr>
      </w:pPr>
      <w:r w:rsidRPr="00D727B4">
        <w:rPr>
          <w:b/>
          <w:bCs/>
          <w:lang w:val="en-US"/>
        </w:rPr>
        <w:lastRenderedPageBreak/>
        <w:t>To:</w:t>
      </w:r>
    </w:p>
    <w:p w14:paraId="74A3F696" w14:textId="62535D08" w:rsidR="00D727B4" w:rsidRDefault="00D727B4" w:rsidP="00D727B4">
      <w:pPr>
        <w:rPr>
          <w:lang w:val="en-US"/>
        </w:rPr>
      </w:pPr>
      <w:r w:rsidRPr="004C201A">
        <w:rPr>
          <w:rFonts w:ascii="Flama Semicondensed Medium" w:hAnsi="Flama Semicondensed Medium"/>
          <w:lang w:val="en-US"/>
        </w:rPr>
        <w:t>“</w:t>
      </w:r>
      <w:r w:rsidRPr="004C201A">
        <w:rPr>
          <w:rFonts w:ascii="Flama Semicondensed Medium" w:hAnsi="Flama Semicondensed Medium"/>
          <w:smallCaps/>
          <w:lang w:val="en-US"/>
        </w:rPr>
        <w:t>Number</w:t>
      </w:r>
      <w:r w:rsidRPr="004C201A">
        <w:rPr>
          <w:rFonts w:ascii="Flama Semicondensed Medium" w:hAnsi="Flama Semicondensed Medium"/>
          <w:lang w:val="en-US"/>
        </w:rPr>
        <w:t xml:space="preserve"> </w:t>
      </w:r>
      <w:r w:rsidRPr="004C201A">
        <w:rPr>
          <w:rFonts w:ascii="Flama Semicondensed Medium" w:hAnsi="Flama Semicondensed Medium"/>
          <w:smallCaps/>
          <w:lang w:val="en-US"/>
        </w:rPr>
        <w:t>of</w:t>
      </w:r>
      <w:r w:rsidRPr="004C201A">
        <w:rPr>
          <w:rFonts w:ascii="Flama Semicondensed Medium" w:hAnsi="Flama Semicondensed Medium"/>
          <w:lang w:val="en-US"/>
        </w:rPr>
        <w:t xml:space="preserve"> </w:t>
      </w:r>
      <w:r w:rsidRPr="004C201A">
        <w:rPr>
          <w:rFonts w:ascii="Flama Semicondensed Medium" w:hAnsi="Flama Semicondensed Medium"/>
          <w:smallCaps/>
          <w:lang w:val="en-US"/>
        </w:rPr>
        <w:t>Tenders</w:t>
      </w:r>
      <w:r w:rsidRPr="004C201A">
        <w:rPr>
          <w:rFonts w:ascii="Flama Semicondensed Medium" w:hAnsi="Flama Semicondensed Medium"/>
          <w:lang w:val="en-US"/>
        </w:rPr>
        <w:t>”</w:t>
      </w:r>
      <w:r w:rsidRPr="004C201A">
        <w:rPr>
          <w:lang w:val="en-US"/>
        </w:rPr>
        <w:t>, means, in respect of a Security and an</w:t>
      </w:r>
      <w:r w:rsidRPr="004C201A">
        <w:rPr>
          <w:smallCaps/>
          <w:lang w:val="en-US"/>
        </w:rPr>
        <w:t xml:space="preserve"> Index Business Day</w:t>
      </w:r>
      <w:r w:rsidRPr="004C201A">
        <w:rPr>
          <w:lang w:val="en-US"/>
        </w:rPr>
        <w:t xml:space="preserve">, the cumulative sum of number of </w:t>
      </w:r>
      <w:r w:rsidRPr="004C201A">
        <w:rPr>
          <w:smallCaps/>
          <w:lang w:val="en-US"/>
        </w:rPr>
        <w:t xml:space="preserve">Quarterly </w:t>
      </w:r>
      <w:r w:rsidRPr="00930FD8">
        <w:rPr>
          <w:smallCaps/>
          <w:lang w:val="en-US"/>
        </w:rPr>
        <w:t>Tenders/Contracts</w:t>
      </w:r>
      <w:r w:rsidRPr="00930FD8">
        <w:rPr>
          <w:lang w:val="en-US"/>
        </w:rPr>
        <w:t xml:space="preserve"> over 20 quarters prior to and including the immediately preceding quarter</w:t>
      </w:r>
      <w:r>
        <w:rPr>
          <w:lang w:val="en-US"/>
        </w:rPr>
        <w:t xml:space="preserve">. However, if </w:t>
      </w:r>
      <w:r w:rsidRPr="004C201A">
        <w:rPr>
          <w:lang w:val="en-US"/>
        </w:rPr>
        <w:t xml:space="preserve">the </w:t>
      </w:r>
      <w:r>
        <w:rPr>
          <w:lang w:val="en-US"/>
        </w:rPr>
        <w:t xml:space="preserve">cumulative sum of number of </w:t>
      </w:r>
      <w:r w:rsidRPr="004C201A">
        <w:rPr>
          <w:smallCaps/>
          <w:lang w:val="en-US"/>
        </w:rPr>
        <w:t xml:space="preserve">Quarterly Tenders/Contracts </w:t>
      </w:r>
      <w:r w:rsidRPr="004C201A">
        <w:rPr>
          <w:lang w:val="en-US"/>
        </w:rPr>
        <w:t>of such Security</w:t>
      </w:r>
      <w:r>
        <w:rPr>
          <w:lang w:val="en-US"/>
        </w:rPr>
        <w:t xml:space="preserve"> over </w:t>
      </w:r>
      <w:r w:rsidRPr="004C201A">
        <w:rPr>
          <w:lang w:val="en-US"/>
        </w:rPr>
        <w:t>12 quarters prior to and including the immediately preceding quarter</w:t>
      </w:r>
      <w:r>
        <w:rPr>
          <w:lang w:val="en-US"/>
        </w:rPr>
        <w:t xml:space="preserve"> is not greater than one</w:t>
      </w:r>
      <w:r w:rsidRPr="004C201A">
        <w:rPr>
          <w:lang w:val="en-US"/>
        </w:rPr>
        <w:t xml:space="preserve">, then the </w:t>
      </w:r>
      <w:r w:rsidRPr="004C201A">
        <w:rPr>
          <w:smallCaps/>
          <w:lang w:val="en-US"/>
        </w:rPr>
        <w:t xml:space="preserve">Number of Tenders </w:t>
      </w:r>
      <w:r w:rsidRPr="004C201A">
        <w:rPr>
          <w:lang w:val="en-US"/>
        </w:rPr>
        <w:t xml:space="preserve">in respect of such </w:t>
      </w:r>
      <w:r w:rsidRPr="004C201A">
        <w:rPr>
          <w:smallCaps/>
          <w:lang w:val="en-US"/>
        </w:rPr>
        <w:t>Index Business Day</w:t>
      </w:r>
      <w:r w:rsidRPr="004C201A">
        <w:rPr>
          <w:lang w:val="en-US"/>
        </w:rPr>
        <w:t xml:space="preserve"> shall be deemed to be equal to zero.</w:t>
      </w:r>
      <w:r>
        <w:rPr>
          <w:lang w:val="en-US"/>
        </w:rPr>
        <w:t xml:space="preserve"> </w:t>
      </w:r>
    </w:p>
    <w:p w14:paraId="1364E126" w14:textId="77777777" w:rsidR="001B7CED" w:rsidRDefault="001B7CED" w:rsidP="00D727B4">
      <w:pPr>
        <w:rPr>
          <w:lang w:val="en-US"/>
        </w:rPr>
      </w:pPr>
    </w:p>
    <w:p w14:paraId="12E13F66" w14:textId="3998B20C" w:rsidR="001B7CED" w:rsidRPr="00C369DE" w:rsidRDefault="001B7CED" w:rsidP="00C369DE">
      <w:pPr>
        <w:pStyle w:val="ListParagraph"/>
        <w:numPr>
          <w:ilvl w:val="0"/>
          <w:numId w:val="27"/>
        </w:numPr>
        <w:ind w:left="284" w:hanging="284"/>
        <w:rPr>
          <w:rFonts w:ascii="Flama Semicondensed Medium" w:hAnsi="Flama Semicondensed Medium"/>
          <w:lang w:val="en-US"/>
        </w:rPr>
      </w:pPr>
      <w:r w:rsidRPr="00C369DE">
        <w:rPr>
          <w:rFonts w:ascii="Flama Semicondensed Medium" w:hAnsi="Flama Semicondensed Medium"/>
          <w:smallCaps/>
          <w:lang w:val="en-US"/>
        </w:rPr>
        <w:t>Cumulative Capacity</w:t>
      </w:r>
    </w:p>
    <w:p w14:paraId="703B3CF2" w14:textId="59C9AAEE" w:rsidR="00D727B4" w:rsidRPr="00C369DE" w:rsidRDefault="00D727B4" w:rsidP="008A6406">
      <w:pPr>
        <w:spacing w:before="0" w:after="160" w:line="259" w:lineRule="auto"/>
        <w:rPr>
          <w:b/>
          <w:bCs/>
          <w:lang w:val="en-US"/>
        </w:rPr>
      </w:pPr>
      <w:r w:rsidRPr="00C369DE">
        <w:rPr>
          <w:b/>
          <w:bCs/>
          <w:lang w:val="en-US"/>
        </w:rPr>
        <w:t>From:</w:t>
      </w:r>
    </w:p>
    <w:p w14:paraId="693F7196" w14:textId="3BD65D5E" w:rsidR="00D727B4" w:rsidRDefault="00D727B4" w:rsidP="00D727B4">
      <w:pPr>
        <w:rPr>
          <w:lang w:val="en-US"/>
        </w:rPr>
      </w:pPr>
      <w:bookmarkStart w:id="2" w:name="_Hlk89680792"/>
      <w:r w:rsidRPr="00FD4408">
        <w:rPr>
          <w:rFonts w:ascii="Flama Semicondensed Medium" w:hAnsi="Flama Semicondensed Medium"/>
          <w:lang w:val="en-US"/>
        </w:rPr>
        <w:t>“</w:t>
      </w:r>
      <w:r w:rsidRPr="00625EE0">
        <w:rPr>
          <w:rFonts w:ascii="Flama Semicondensed Medium" w:hAnsi="Flama Semicondensed Medium"/>
          <w:smallCaps/>
          <w:lang w:val="en-US"/>
        </w:rPr>
        <w:t>Cumulative Capacity</w:t>
      </w:r>
      <w:r w:rsidRPr="00FD4408">
        <w:rPr>
          <w:rFonts w:ascii="Flama Semicondensed Medium" w:hAnsi="Flama Semicondensed Medium"/>
          <w:lang w:val="en-US"/>
        </w:rPr>
        <w:t>”</w:t>
      </w:r>
      <w:r w:rsidRPr="00FD4408">
        <w:rPr>
          <w:lang w:val="en-US"/>
        </w:rPr>
        <w:t xml:space="preserve">, means, in respect of a Security and an </w:t>
      </w:r>
      <w:r w:rsidRPr="00251920">
        <w:rPr>
          <w:smallCaps/>
          <w:lang w:val="en-US"/>
        </w:rPr>
        <w:t>Index</w:t>
      </w:r>
      <w:r w:rsidRPr="00FD4408">
        <w:rPr>
          <w:lang w:val="en-US"/>
        </w:rPr>
        <w:t xml:space="preserve"> </w:t>
      </w:r>
      <w:r w:rsidRPr="00251920">
        <w:rPr>
          <w:smallCaps/>
          <w:lang w:val="en-US"/>
        </w:rPr>
        <w:t>Business</w:t>
      </w:r>
      <w:r w:rsidRPr="00FD4408">
        <w:rPr>
          <w:lang w:val="en-US"/>
        </w:rPr>
        <w:t xml:space="preserve"> </w:t>
      </w:r>
      <w:r w:rsidRPr="00251920">
        <w:rPr>
          <w:smallCaps/>
          <w:lang w:val="en-US"/>
        </w:rPr>
        <w:t>Day</w:t>
      </w:r>
      <w:r w:rsidRPr="00FD4408">
        <w:rPr>
          <w:lang w:val="en-US"/>
        </w:rPr>
        <w:t xml:space="preserve">, the cumulative sum of </w:t>
      </w:r>
      <w:r w:rsidRPr="00251920">
        <w:rPr>
          <w:smallCaps/>
          <w:lang w:val="en-US"/>
        </w:rPr>
        <w:t>Quarterly Total Capacity (Units)</w:t>
      </w:r>
      <w:r w:rsidRPr="00FD4408">
        <w:rPr>
          <w:lang w:val="en-US"/>
        </w:rPr>
        <w:t xml:space="preserve"> over 20 quarters prior to and including the immediately preceding quarter. If the </w:t>
      </w:r>
      <w:r w:rsidRPr="00251920">
        <w:rPr>
          <w:smallCaps/>
          <w:lang w:val="en-US"/>
        </w:rPr>
        <w:t>Quarterly Total Capacity (Units)</w:t>
      </w:r>
      <w:r w:rsidRPr="00FD4408">
        <w:rPr>
          <w:lang w:val="en-US"/>
        </w:rPr>
        <w:t xml:space="preserve"> of such Security as of the immediately preceding quarter is unavailable or equal to zero, then the </w:t>
      </w:r>
      <w:r w:rsidRPr="00625EE0">
        <w:rPr>
          <w:smallCaps/>
          <w:lang w:val="en-US"/>
        </w:rPr>
        <w:t>Cumulative Capacity</w:t>
      </w:r>
      <w:r w:rsidRPr="00FD4408">
        <w:rPr>
          <w:lang w:val="en-US"/>
        </w:rPr>
        <w:t xml:space="preserve"> shall be the </w:t>
      </w:r>
      <w:r w:rsidRPr="00625EE0">
        <w:rPr>
          <w:smallCaps/>
          <w:lang w:val="en-US"/>
        </w:rPr>
        <w:t>Cumulative Capacity</w:t>
      </w:r>
      <w:r w:rsidRPr="00FD4408">
        <w:rPr>
          <w:lang w:val="en-US"/>
        </w:rPr>
        <w:t xml:space="preserve"> determined as of the most recent quarter within the preceding 11 quarters, when the </w:t>
      </w:r>
      <w:r w:rsidRPr="00251920">
        <w:rPr>
          <w:smallCaps/>
          <w:lang w:val="en-US"/>
        </w:rPr>
        <w:t>Quarterly Total Capacity (Units)</w:t>
      </w:r>
      <w:r w:rsidRPr="00FD4408">
        <w:rPr>
          <w:lang w:val="en-US"/>
        </w:rPr>
        <w:t xml:space="preserve"> was not equal to zero. Notwithstanding the above, if the </w:t>
      </w:r>
      <w:r w:rsidRPr="00251920">
        <w:rPr>
          <w:smallCaps/>
          <w:lang w:val="en-US"/>
        </w:rPr>
        <w:t>Quarterly Total Capacity (Units)</w:t>
      </w:r>
      <w:r w:rsidRPr="00FD4408">
        <w:rPr>
          <w:lang w:val="en-US"/>
        </w:rPr>
        <w:t xml:space="preserve"> of such Security was equal to zero consecutively for 12 quarters prior to and including the immediately preceding quarter, then the </w:t>
      </w:r>
      <w:r w:rsidRPr="00625EE0">
        <w:rPr>
          <w:smallCaps/>
          <w:lang w:val="en-US"/>
        </w:rPr>
        <w:t>Cumulative Capacity</w:t>
      </w:r>
      <w:r w:rsidRPr="00FD4408">
        <w:rPr>
          <w:lang w:val="en-US"/>
        </w:rPr>
        <w:t xml:space="preserve"> in respect of such </w:t>
      </w:r>
      <w:r w:rsidRPr="00251920">
        <w:rPr>
          <w:smallCaps/>
          <w:lang w:val="en-US"/>
        </w:rPr>
        <w:t>Index Business Day</w:t>
      </w:r>
      <w:r w:rsidRPr="00FD4408">
        <w:rPr>
          <w:lang w:val="en-US"/>
        </w:rPr>
        <w:t xml:space="preserve"> shall be deemed to be equal to zero.</w:t>
      </w:r>
      <w:bookmarkEnd w:id="2"/>
    </w:p>
    <w:p w14:paraId="41F587FF" w14:textId="77777777" w:rsidR="00D727B4" w:rsidRDefault="00D727B4" w:rsidP="00D727B4">
      <w:pPr>
        <w:rPr>
          <w:rFonts w:ascii="Flama Semicondensed Medium" w:hAnsi="Flama Semicondensed Medium"/>
          <w:lang w:val="en-US"/>
        </w:rPr>
      </w:pPr>
      <w:r>
        <w:rPr>
          <w:rFonts w:ascii="Flama Semicondensed Medium" w:hAnsi="Flama Semicondensed Medium"/>
          <w:lang w:val="en-US"/>
        </w:rPr>
        <w:t>To:</w:t>
      </w:r>
    </w:p>
    <w:p w14:paraId="036F08D3" w14:textId="7DA47CBE" w:rsidR="00D727B4" w:rsidRDefault="00D727B4" w:rsidP="00D727B4">
      <w:pPr>
        <w:rPr>
          <w:lang w:val="en-US"/>
        </w:rPr>
      </w:pPr>
      <w:r w:rsidRPr="00FD4408">
        <w:rPr>
          <w:rFonts w:ascii="Flama Semicondensed Medium" w:hAnsi="Flama Semicondensed Medium"/>
          <w:lang w:val="en-US"/>
        </w:rPr>
        <w:t>“</w:t>
      </w:r>
      <w:r w:rsidRPr="00625EE0">
        <w:rPr>
          <w:rFonts w:ascii="Flama Semicondensed Medium" w:hAnsi="Flama Semicondensed Medium"/>
          <w:smallCaps/>
          <w:lang w:val="en-US"/>
        </w:rPr>
        <w:t>Cumulative Capacity</w:t>
      </w:r>
      <w:r w:rsidRPr="00FD4408">
        <w:rPr>
          <w:rFonts w:ascii="Flama Semicondensed Medium" w:hAnsi="Flama Semicondensed Medium"/>
          <w:lang w:val="en-US"/>
        </w:rPr>
        <w:t>”</w:t>
      </w:r>
      <w:r w:rsidRPr="00FD4408">
        <w:rPr>
          <w:lang w:val="en-US"/>
        </w:rPr>
        <w:t xml:space="preserve">, means, in respect of a Security and an </w:t>
      </w:r>
      <w:r w:rsidRPr="00251920">
        <w:rPr>
          <w:smallCaps/>
          <w:lang w:val="en-US"/>
        </w:rPr>
        <w:t>Index</w:t>
      </w:r>
      <w:r w:rsidRPr="00FD4408">
        <w:rPr>
          <w:lang w:val="en-US"/>
        </w:rPr>
        <w:t xml:space="preserve"> </w:t>
      </w:r>
      <w:r w:rsidRPr="00251920">
        <w:rPr>
          <w:smallCaps/>
          <w:lang w:val="en-US"/>
        </w:rPr>
        <w:t>Business</w:t>
      </w:r>
      <w:r w:rsidRPr="00FD4408">
        <w:rPr>
          <w:lang w:val="en-US"/>
        </w:rPr>
        <w:t xml:space="preserve"> </w:t>
      </w:r>
      <w:r w:rsidRPr="00251920">
        <w:rPr>
          <w:smallCaps/>
          <w:lang w:val="en-US"/>
        </w:rPr>
        <w:t>Day</w:t>
      </w:r>
      <w:r w:rsidRPr="00FD4408">
        <w:rPr>
          <w:lang w:val="en-US"/>
        </w:rPr>
        <w:t xml:space="preserve">, the cumulative sum of </w:t>
      </w:r>
      <w:r w:rsidRPr="00251920">
        <w:rPr>
          <w:smallCaps/>
          <w:lang w:val="en-US"/>
        </w:rPr>
        <w:t>Quarterly Total Capacity (Units)</w:t>
      </w:r>
      <w:r w:rsidRPr="00FD4408">
        <w:rPr>
          <w:lang w:val="en-US"/>
        </w:rPr>
        <w:t xml:space="preserve"> over 20 quarters prior to and including the immediately preceding quarter. </w:t>
      </w:r>
      <w:r>
        <w:rPr>
          <w:lang w:val="en-US"/>
        </w:rPr>
        <w:t>However,</w:t>
      </w:r>
      <w:r w:rsidRPr="00FD4408">
        <w:rPr>
          <w:lang w:val="en-US"/>
        </w:rPr>
        <w:t xml:space="preserve"> if the</w:t>
      </w:r>
      <w:r>
        <w:rPr>
          <w:lang w:val="en-US"/>
        </w:rPr>
        <w:t xml:space="preserve"> cumulative</w:t>
      </w:r>
      <w:r w:rsidRPr="00FD4408">
        <w:rPr>
          <w:lang w:val="en-US"/>
        </w:rPr>
        <w:t xml:space="preserve"> </w:t>
      </w:r>
      <w:r>
        <w:rPr>
          <w:lang w:val="en-US"/>
        </w:rPr>
        <w:t xml:space="preserve">sum of </w:t>
      </w:r>
      <w:r w:rsidRPr="00251920">
        <w:rPr>
          <w:smallCaps/>
          <w:lang w:val="en-US"/>
        </w:rPr>
        <w:t>Quarterly Total Capacity (Units)</w:t>
      </w:r>
      <w:r w:rsidRPr="00FD4408">
        <w:rPr>
          <w:lang w:val="en-US"/>
        </w:rPr>
        <w:t xml:space="preserve"> of such Security</w:t>
      </w:r>
      <w:r>
        <w:rPr>
          <w:lang w:val="en-US"/>
        </w:rPr>
        <w:t xml:space="preserve"> over </w:t>
      </w:r>
      <w:r w:rsidRPr="00FD4408">
        <w:rPr>
          <w:lang w:val="en-US"/>
        </w:rPr>
        <w:t>12 quarters prior to and including the immediately preceding quarter</w:t>
      </w:r>
      <w:r>
        <w:rPr>
          <w:lang w:val="en-US"/>
        </w:rPr>
        <w:t xml:space="preserve"> is equal to zero</w:t>
      </w:r>
      <w:r w:rsidRPr="00FD4408">
        <w:rPr>
          <w:lang w:val="en-US"/>
        </w:rPr>
        <w:t xml:space="preserve">, then the </w:t>
      </w:r>
      <w:r w:rsidRPr="00625EE0">
        <w:rPr>
          <w:smallCaps/>
          <w:lang w:val="en-US"/>
        </w:rPr>
        <w:t>Cumulative Capacity</w:t>
      </w:r>
      <w:r w:rsidRPr="00FD4408">
        <w:rPr>
          <w:lang w:val="en-US"/>
        </w:rPr>
        <w:t xml:space="preserve"> in respect of such </w:t>
      </w:r>
      <w:r w:rsidRPr="00251920">
        <w:rPr>
          <w:smallCaps/>
          <w:lang w:val="en-US"/>
        </w:rPr>
        <w:t>Index Business Day</w:t>
      </w:r>
      <w:r w:rsidRPr="00FD4408">
        <w:rPr>
          <w:lang w:val="en-US"/>
        </w:rPr>
        <w:t xml:space="preserve"> shall be deemed to be equal to zero.</w:t>
      </w:r>
    </w:p>
    <w:p w14:paraId="2A528A06" w14:textId="770C58CB" w:rsidR="00BB38FB" w:rsidRDefault="00BB38FB" w:rsidP="00D727B4">
      <w:pPr>
        <w:rPr>
          <w:lang w:val="en-US"/>
        </w:rPr>
      </w:pPr>
    </w:p>
    <w:p w14:paraId="6123718D" w14:textId="5BC1DBE4" w:rsidR="00BB38FB" w:rsidRPr="00BB38FB" w:rsidRDefault="00BB38FB" w:rsidP="00BB38FB">
      <w:pPr>
        <w:pStyle w:val="ListParagraph"/>
        <w:numPr>
          <w:ilvl w:val="0"/>
          <w:numId w:val="27"/>
        </w:numPr>
        <w:ind w:left="284" w:hanging="284"/>
        <w:rPr>
          <w:rFonts w:ascii="Flama Semicondensed Medium" w:hAnsi="Flama Semicondensed Medium"/>
          <w:lang w:val="en-US"/>
        </w:rPr>
      </w:pPr>
      <w:r>
        <w:rPr>
          <w:rFonts w:ascii="Flama Semicondensed Medium" w:hAnsi="Flama Semicondensed Medium"/>
          <w:smallCaps/>
          <w:lang w:val="en-US"/>
        </w:rPr>
        <w:t>Data Provider:</w:t>
      </w:r>
    </w:p>
    <w:p w14:paraId="371DB35D" w14:textId="13C9997A" w:rsidR="00BB38FB" w:rsidRDefault="00BB38FB" w:rsidP="00BB38FB">
      <w:pPr>
        <w:rPr>
          <w:rFonts w:ascii="Flama Semicondensed Medium" w:hAnsi="Flama Semicondensed Medium"/>
          <w:lang w:val="en-US"/>
        </w:rPr>
      </w:pPr>
      <w:r>
        <w:rPr>
          <w:rFonts w:ascii="Flama Semicondensed Medium" w:hAnsi="Flama Semicondensed Medium"/>
          <w:lang w:val="en-US"/>
        </w:rPr>
        <w:t>From:</w:t>
      </w:r>
    </w:p>
    <w:p w14:paraId="51BEB3A4" w14:textId="77777777" w:rsidR="00BB38FB" w:rsidRDefault="00BB38FB" w:rsidP="00BB38FB">
      <w:pPr>
        <w:rPr>
          <w:rStyle w:val="Hyperlink"/>
          <w:rFonts w:eastAsiaTheme="majorEastAsia"/>
          <w:color w:val="auto"/>
          <w:lang w:val="en-US"/>
        </w:rPr>
      </w:pPr>
      <w:r w:rsidRPr="00012455">
        <w:rPr>
          <w:rFonts w:ascii="Flama Semicondensed Medium" w:hAnsi="Flama Semicondensed Medium"/>
          <w:bCs/>
          <w:lang w:val="en-US"/>
        </w:rPr>
        <w:t>“</w:t>
      </w:r>
      <w:r w:rsidRPr="00012455">
        <w:rPr>
          <w:rFonts w:ascii="Flama Semicondensed Medium" w:hAnsi="Flama Semicondensed Medium"/>
          <w:bCs/>
          <w:smallCaps/>
          <w:lang w:val="en-US"/>
        </w:rPr>
        <w:t>Data Provider</w:t>
      </w:r>
      <w:r>
        <w:rPr>
          <w:rFonts w:ascii="Flama Semicondensed Medium" w:hAnsi="Flama Semicondensed Medium"/>
          <w:bCs/>
          <w:smallCaps/>
          <w:lang w:val="en-US"/>
        </w:rPr>
        <w:t xml:space="preserve"> 1</w:t>
      </w:r>
      <w:r w:rsidRPr="00012455">
        <w:rPr>
          <w:rFonts w:ascii="Flama Semicondensed Medium" w:hAnsi="Flama Semicondensed Medium"/>
          <w:bCs/>
          <w:lang w:val="en-US"/>
        </w:rPr>
        <w:t>”</w:t>
      </w:r>
      <w:r>
        <w:rPr>
          <w:b/>
          <w:lang w:val="en-US"/>
        </w:rPr>
        <w:t xml:space="preserve"> </w:t>
      </w:r>
      <w:r>
        <w:rPr>
          <w:lang w:val="en-US"/>
        </w:rPr>
        <w:t>is Global Data.</w:t>
      </w:r>
      <w:r w:rsidRPr="006C26CC">
        <w:rPr>
          <w:lang w:val="en-US"/>
        </w:rPr>
        <w:t xml:space="preserve"> </w:t>
      </w:r>
      <w:r w:rsidRPr="004E2CCC">
        <w:rPr>
          <w:lang w:val="en-US"/>
        </w:rPr>
        <w:t>For more information, please visit:</w:t>
      </w:r>
      <w:r>
        <w:rPr>
          <w:lang w:val="en-US"/>
        </w:rPr>
        <w:t xml:space="preserve"> </w:t>
      </w:r>
      <w:hyperlink r:id="rId11" w:history="1">
        <w:r w:rsidRPr="00FA3099">
          <w:rPr>
            <w:rStyle w:val="Hyperlink"/>
            <w:rFonts w:eastAsiaTheme="majorEastAsia"/>
            <w:lang w:val="en-US"/>
          </w:rPr>
          <w:t>https://www.globaldata.com/</w:t>
        </w:r>
      </w:hyperlink>
      <w:r w:rsidRPr="000C0FE6">
        <w:rPr>
          <w:rStyle w:val="Hyperlink"/>
          <w:rFonts w:eastAsiaTheme="majorEastAsia"/>
          <w:color w:val="auto"/>
          <w:lang w:val="en-US"/>
        </w:rPr>
        <w:t>.</w:t>
      </w:r>
    </w:p>
    <w:p w14:paraId="1BFE6CA1" w14:textId="77777777" w:rsidR="00BB38FB" w:rsidRDefault="00BB38FB" w:rsidP="00BB38FB">
      <w:pPr>
        <w:rPr>
          <w:rStyle w:val="Hyperlink"/>
          <w:rFonts w:eastAsiaTheme="majorEastAsia"/>
          <w:color w:val="auto"/>
          <w:lang w:val="en-US"/>
        </w:rPr>
      </w:pPr>
      <w:r w:rsidRPr="00012455">
        <w:rPr>
          <w:rFonts w:ascii="Flama Semicondensed Medium" w:hAnsi="Flama Semicondensed Medium"/>
          <w:bCs/>
          <w:lang w:val="en-US"/>
        </w:rPr>
        <w:t>“</w:t>
      </w:r>
      <w:r w:rsidRPr="00012455">
        <w:rPr>
          <w:rFonts w:ascii="Flama Semicondensed Medium" w:hAnsi="Flama Semicondensed Medium"/>
          <w:bCs/>
          <w:smallCaps/>
          <w:lang w:val="en-US"/>
        </w:rPr>
        <w:t>Data Provider</w:t>
      </w:r>
      <w:r>
        <w:rPr>
          <w:rFonts w:ascii="Flama Semicondensed Medium" w:hAnsi="Flama Semicondensed Medium"/>
          <w:bCs/>
          <w:smallCaps/>
          <w:lang w:val="en-US"/>
        </w:rPr>
        <w:t xml:space="preserve"> 2</w:t>
      </w:r>
      <w:r w:rsidRPr="00012455">
        <w:rPr>
          <w:rFonts w:ascii="Flama Semicondensed Medium" w:hAnsi="Flama Semicondensed Medium"/>
          <w:bCs/>
          <w:lang w:val="en-US"/>
        </w:rPr>
        <w:t>”</w:t>
      </w:r>
      <w:r>
        <w:rPr>
          <w:b/>
          <w:lang w:val="en-US"/>
        </w:rPr>
        <w:t xml:space="preserve"> </w:t>
      </w:r>
      <w:r>
        <w:rPr>
          <w:lang w:val="en-US"/>
        </w:rPr>
        <w:t xml:space="preserve">is </w:t>
      </w:r>
      <w:proofErr w:type="spellStart"/>
      <w:r>
        <w:rPr>
          <w:lang w:val="en-US"/>
        </w:rPr>
        <w:t>Sustainalytics</w:t>
      </w:r>
      <w:proofErr w:type="spellEnd"/>
      <w:r>
        <w:rPr>
          <w:lang w:val="en-US"/>
        </w:rPr>
        <w:t>.</w:t>
      </w:r>
      <w:r w:rsidRPr="006C26CC">
        <w:rPr>
          <w:lang w:val="en-US"/>
        </w:rPr>
        <w:t xml:space="preserve"> </w:t>
      </w:r>
      <w:r w:rsidRPr="004E2CCC">
        <w:rPr>
          <w:lang w:val="en-US"/>
        </w:rPr>
        <w:t>For more information, please visit:</w:t>
      </w:r>
      <w:r>
        <w:rPr>
          <w:lang w:val="en-US"/>
        </w:rPr>
        <w:t xml:space="preserve"> </w:t>
      </w:r>
      <w:r w:rsidRPr="002C6F38">
        <w:rPr>
          <w:lang w:val="en-US"/>
        </w:rPr>
        <w:t>https://www.sustainalytics.com/</w:t>
      </w:r>
      <w:r w:rsidRPr="000C0FE6">
        <w:rPr>
          <w:rStyle w:val="Hyperlink"/>
          <w:rFonts w:eastAsiaTheme="majorEastAsia"/>
          <w:color w:val="auto"/>
          <w:lang w:val="en-US"/>
        </w:rPr>
        <w:t>.</w:t>
      </w:r>
    </w:p>
    <w:p w14:paraId="3811924C" w14:textId="3BE06CA1" w:rsidR="00BB38FB" w:rsidRDefault="00BB38FB" w:rsidP="00BB38FB">
      <w:pPr>
        <w:rPr>
          <w:rFonts w:ascii="Flama Semicondensed Medium" w:hAnsi="Flama Semicondensed Medium"/>
          <w:lang w:val="en-US"/>
        </w:rPr>
      </w:pPr>
    </w:p>
    <w:p w14:paraId="2BB433DC" w14:textId="3E98E059" w:rsidR="00BB38FB" w:rsidRDefault="00BB38FB" w:rsidP="00BB38FB">
      <w:pPr>
        <w:rPr>
          <w:rFonts w:ascii="Flama Semicondensed Medium" w:hAnsi="Flama Semicondensed Medium"/>
          <w:lang w:val="en-US"/>
        </w:rPr>
      </w:pPr>
      <w:r>
        <w:rPr>
          <w:rFonts w:ascii="Flama Semicondensed Medium" w:hAnsi="Flama Semicondensed Medium"/>
          <w:lang w:val="en-US"/>
        </w:rPr>
        <w:t>To:</w:t>
      </w:r>
    </w:p>
    <w:p w14:paraId="7B2A0DA0" w14:textId="243CD9E9" w:rsidR="00BB38FB" w:rsidRDefault="00BB38FB" w:rsidP="00BB38FB">
      <w:pPr>
        <w:rPr>
          <w:rStyle w:val="Hyperlink"/>
          <w:rFonts w:eastAsiaTheme="majorEastAsia"/>
          <w:color w:val="auto"/>
          <w:lang w:val="en-US"/>
        </w:rPr>
      </w:pPr>
      <w:r w:rsidRPr="00012455">
        <w:rPr>
          <w:rFonts w:ascii="Flama Semicondensed Medium" w:hAnsi="Flama Semicondensed Medium"/>
          <w:bCs/>
          <w:lang w:val="en-US"/>
        </w:rPr>
        <w:t>“</w:t>
      </w:r>
      <w:r w:rsidRPr="00012455">
        <w:rPr>
          <w:rFonts w:ascii="Flama Semicondensed Medium" w:hAnsi="Flama Semicondensed Medium"/>
          <w:bCs/>
          <w:smallCaps/>
          <w:lang w:val="en-US"/>
        </w:rPr>
        <w:t>Data Provider</w:t>
      </w:r>
      <w:r>
        <w:rPr>
          <w:rFonts w:ascii="Flama Semicondensed Medium" w:hAnsi="Flama Semicondensed Medium"/>
          <w:bCs/>
          <w:smallCaps/>
          <w:lang w:val="en-US"/>
        </w:rPr>
        <w:t xml:space="preserve"> </w:t>
      </w:r>
      <w:r>
        <w:rPr>
          <w:rFonts w:ascii="Flama Semicondensed Medium" w:hAnsi="Flama Semicondensed Medium"/>
          <w:bCs/>
          <w:smallCaps/>
          <w:lang w:val="en-US"/>
        </w:rPr>
        <w:t>I</w:t>
      </w:r>
      <w:r w:rsidRPr="00012455">
        <w:rPr>
          <w:rFonts w:ascii="Flama Semicondensed Medium" w:hAnsi="Flama Semicondensed Medium"/>
          <w:bCs/>
          <w:lang w:val="en-US"/>
        </w:rPr>
        <w:t>”</w:t>
      </w:r>
      <w:r>
        <w:rPr>
          <w:b/>
          <w:lang w:val="en-US"/>
        </w:rPr>
        <w:t xml:space="preserve"> </w:t>
      </w:r>
      <w:r>
        <w:rPr>
          <w:lang w:val="en-US"/>
        </w:rPr>
        <w:t>is Global Data.</w:t>
      </w:r>
      <w:r w:rsidRPr="006C26CC">
        <w:rPr>
          <w:lang w:val="en-US"/>
        </w:rPr>
        <w:t xml:space="preserve"> </w:t>
      </w:r>
      <w:r w:rsidRPr="004E2CCC">
        <w:rPr>
          <w:lang w:val="en-US"/>
        </w:rPr>
        <w:t>For more information, please visit:</w:t>
      </w:r>
      <w:r>
        <w:rPr>
          <w:lang w:val="en-US"/>
        </w:rPr>
        <w:t xml:space="preserve"> </w:t>
      </w:r>
      <w:hyperlink r:id="rId12" w:history="1">
        <w:r w:rsidRPr="00FA3099">
          <w:rPr>
            <w:rStyle w:val="Hyperlink"/>
            <w:rFonts w:eastAsiaTheme="majorEastAsia"/>
            <w:lang w:val="en-US"/>
          </w:rPr>
          <w:t>https://www.globaldata.com/</w:t>
        </w:r>
      </w:hyperlink>
      <w:r w:rsidRPr="000C0FE6">
        <w:rPr>
          <w:rStyle w:val="Hyperlink"/>
          <w:rFonts w:eastAsiaTheme="majorEastAsia"/>
          <w:color w:val="auto"/>
          <w:lang w:val="en-US"/>
        </w:rPr>
        <w:t>.</w:t>
      </w:r>
    </w:p>
    <w:p w14:paraId="1759B341" w14:textId="793358EE" w:rsidR="00BB38FB" w:rsidRDefault="00BB38FB" w:rsidP="00BB38FB">
      <w:pPr>
        <w:rPr>
          <w:rStyle w:val="Hyperlink"/>
          <w:rFonts w:eastAsiaTheme="majorEastAsia"/>
          <w:color w:val="auto"/>
          <w:lang w:val="en-US"/>
        </w:rPr>
      </w:pPr>
      <w:r w:rsidRPr="00012455">
        <w:rPr>
          <w:rFonts w:ascii="Flama Semicondensed Medium" w:hAnsi="Flama Semicondensed Medium"/>
          <w:bCs/>
          <w:lang w:val="en-US"/>
        </w:rPr>
        <w:t>“</w:t>
      </w:r>
      <w:r w:rsidRPr="00012455">
        <w:rPr>
          <w:rFonts w:ascii="Flama Semicondensed Medium" w:hAnsi="Flama Semicondensed Medium"/>
          <w:bCs/>
          <w:smallCaps/>
          <w:lang w:val="en-US"/>
        </w:rPr>
        <w:t>Data Provider</w:t>
      </w:r>
      <w:r>
        <w:rPr>
          <w:rFonts w:ascii="Flama Semicondensed Medium" w:hAnsi="Flama Semicondensed Medium"/>
          <w:bCs/>
          <w:smallCaps/>
          <w:lang w:val="en-US"/>
        </w:rPr>
        <w:t xml:space="preserve"> </w:t>
      </w:r>
      <w:r>
        <w:rPr>
          <w:rFonts w:ascii="Flama Semicondensed Medium" w:hAnsi="Flama Semicondensed Medium"/>
          <w:bCs/>
          <w:smallCaps/>
          <w:lang w:val="en-US"/>
        </w:rPr>
        <w:t>II</w:t>
      </w:r>
      <w:r w:rsidRPr="00012455">
        <w:rPr>
          <w:rFonts w:ascii="Flama Semicondensed Medium" w:hAnsi="Flama Semicondensed Medium"/>
          <w:bCs/>
          <w:lang w:val="en-US"/>
        </w:rPr>
        <w:t>”</w:t>
      </w:r>
      <w:r>
        <w:rPr>
          <w:b/>
          <w:lang w:val="en-US"/>
        </w:rPr>
        <w:t xml:space="preserve"> </w:t>
      </w:r>
      <w:r>
        <w:rPr>
          <w:lang w:val="en-US"/>
        </w:rPr>
        <w:t xml:space="preserve">is </w:t>
      </w:r>
      <w:proofErr w:type="spellStart"/>
      <w:r>
        <w:rPr>
          <w:lang w:val="en-US"/>
        </w:rPr>
        <w:t>Sustainalytics</w:t>
      </w:r>
      <w:proofErr w:type="spellEnd"/>
      <w:r>
        <w:rPr>
          <w:lang w:val="en-US"/>
        </w:rPr>
        <w:t>.</w:t>
      </w:r>
      <w:r w:rsidRPr="006C26CC">
        <w:rPr>
          <w:lang w:val="en-US"/>
        </w:rPr>
        <w:t xml:space="preserve"> </w:t>
      </w:r>
      <w:r w:rsidRPr="004E2CCC">
        <w:rPr>
          <w:lang w:val="en-US"/>
        </w:rPr>
        <w:t>For more information, please visit:</w:t>
      </w:r>
      <w:r>
        <w:rPr>
          <w:lang w:val="en-US"/>
        </w:rPr>
        <w:t xml:space="preserve"> </w:t>
      </w:r>
      <w:r w:rsidRPr="002C6F38">
        <w:rPr>
          <w:lang w:val="en-US"/>
        </w:rPr>
        <w:t>https://www.sustainalytics.com/</w:t>
      </w:r>
      <w:r w:rsidRPr="000C0FE6">
        <w:rPr>
          <w:rStyle w:val="Hyperlink"/>
          <w:rFonts w:eastAsiaTheme="majorEastAsia"/>
          <w:color w:val="auto"/>
          <w:lang w:val="en-US"/>
        </w:rPr>
        <w:t>.</w:t>
      </w:r>
    </w:p>
    <w:p w14:paraId="09E39725" w14:textId="77777777" w:rsidR="00BB38FB" w:rsidRPr="00BB38FB" w:rsidRDefault="00BB38FB" w:rsidP="00BB38FB">
      <w:pPr>
        <w:rPr>
          <w:rFonts w:ascii="Flama Semicondensed Medium" w:hAnsi="Flama Semicondensed Medium"/>
          <w:lang w:val="en-US"/>
        </w:rPr>
      </w:pPr>
    </w:p>
    <w:p w14:paraId="2FB76B4B" w14:textId="77777777" w:rsidR="00BB38FB" w:rsidRDefault="00BB38FB" w:rsidP="00D727B4">
      <w:pPr>
        <w:rPr>
          <w:lang w:val="en-US"/>
        </w:rPr>
      </w:pPr>
    </w:p>
    <w:p w14:paraId="28AF543D" w14:textId="4343272D" w:rsidR="00D727B4" w:rsidRDefault="00D727B4" w:rsidP="008A6406">
      <w:pPr>
        <w:spacing w:before="0" w:after="160" w:line="259" w:lineRule="auto"/>
        <w:rPr>
          <w:lang w:val="en-US"/>
        </w:rPr>
      </w:pPr>
    </w:p>
    <w:p w14:paraId="0242CF8E" w14:textId="0CAD2D3C" w:rsidR="00D727B4" w:rsidRPr="000F0316" w:rsidRDefault="00B75032" w:rsidP="008A6406">
      <w:pPr>
        <w:spacing w:before="0" w:after="160" w:line="259" w:lineRule="auto"/>
        <w:rPr>
          <w:b/>
          <w:bCs/>
          <w:lang w:val="en-US"/>
        </w:rPr>
      </w:pPr>
      <w:r>
        <w:rPr>
          <w:b/>
          <w:bCs/>
          <w:lang w:val="en-DE"/>
        </w:rPr>
        <w:t xml:space="preserve">The following </w:t>
      </w:r>
      <w:r w:rsidR="00D727B4" w:rsidRPr="000F0316">
        <w:rPr>
          <w:b/>
          <w:bCs/>
          <w:lang w:val="en-US"/>
        </w:rPr>
        <w:t>definitions</w:t>
      </w:r>
      <w:r w:rsidR="000F0316" w:rsidRPr="000F0316">
        <w:rPr>
          <w:b/>
          <w:bCs/>
          <w:lang w:val="en-US"/>
        </w:rPr>
        <w:t xml:space="preserve"> and Annex</w:t>
      </w:r>
      <w:r w:rsidR="00AF7381">
        <w:rPr>
          <w:b/>
          <w:bCs/>
          <w:lang w:val="en-US"/>
        </w:rPr>
        <w:t xml:space="preserve"> A,</w:t>
      </w:r>
      <w:r w:rsidR="000F0316" w:rsidRPr="000F0316">
        <w:rPr>
          <w:b/>
          <w:bCs/>
          <w:lang w:val="en-US"/>
        </w:rPr>
        <w:t xml:space="preserve"> B &amp; C</w:t>
      </w:r>
      <w:r>
        <w:rPr>
          <w:b/>
          <w:bCs/>
          <w:lang w:val="en-DE"/>
        </w:rPr>
        <w:t xml:space="preserve"> will be </w:t>
      </w:r>
      <w:proofErr w:type="spellStart"/>
      <w:r>
        <w:rPr>
          <w:b/>
          <w:bCs/>
          <w:lang w:val="en-DE"/>
        </w:rPr>
        <w:t>i</w:t>
      </w:r>
      <w:proofErr w:type="spellEnd"/>
      <w:r w:rsidR="00AF7381">
        <w:rPr>
          <w:b/>
          <w:bCs/>
          <w:lang w:val="en-US"/>
        </w:rPr>
        <w:t xml:space="preserve">adjusted / </w:t>
      </w:r>
      <w:r w:rsidR="00AF7381">
        <w:rPr>
          <w:b/>
          <w:bCs/>
          <w:lang w:val="en-DE"/>
        </w:rPr>
        <w:t>included</w:t>
      </w:r>
      <w:r w:rsidR="00D727B4" w:rsidRPr="000F0316">
        <w:rPr>
          <w:b/>
          <w:bCs/>
          <w:lang w:val="en-US"/>
        </w:rPr>
        <w:t>:</w:t>
      </w:r>
    </w:p>
    <w:p w14:paraId="1ED179B3" w14:textId="213DECAE" w:rsidR="00F11F52" w:rsidRDefault="00F11F52" w:rsidP="00B75032">
      <w:pPr>
        <w:pStyle w:val="ListParagraph"/>
        <w:numPr>
          <w:ilvl w:val="0"/>
          <w:numId w:val="27"/>
        </w:numPr>
        <w:ind w:left="284" w:hanging="284"/>
        <w:rPr>
          <w:lang w:val="en-US"/>
        </w:rPr>
      </w:pPr>
      <w:r>
        <w:rPr>
          <w:lang w:val="en-US"/>
        </w:rPr>
        <w:t>“</w:t>
      </w:r>
      <w:proofErr w:type="spellStart"/>
      <w:r>
        <w:rPr>
          <w:rFonts w:ascii="Flama Semicondensed Medium" w:hAnsi="Flama Semicondensed Medium"/>
          <w:smallCaps/>
          <w:lang w:val="en-US"/>
        </w:rPr>
        <w:t>Electroliyser</w:t>
      </w:r>
      <w:proofErr w:type="spellEnd"/>
      <w:r>
        <w:rPr>
          <w:rFonts w:ascii="Flama Semicondensed Medium" w:hAnsi="Flama Semicondensed Medium"/>
          <w:smallCaps/>
          <w:lang w:val="en-US"/>
        </w:rPr>
        <w:t xml:space="preserve"> Manufacturer</w:t>
      </w:r>
      <w:r>
        <w:rPr>
          <w:lang w:val="en-US"/>
        </w:rPr>
        <w:t>” means any company whose Equipment Type is “</w:t>
      </w:r>
      <w:proofErr w:type="spellStart"/>
      <w:r>
        <w:rPr>
          <w:lang w:val="en-US"/>
        </w:rPr>
        <w:t>Electrolyser</w:t>
      </w:r>
      <w:proofErr w:type="spellEnd"/>
      <w:r>
        <w:rPr>
          <w:lang w:val="en-US"/>
        </w:rPr>
        <w:t>”.</w:t>
      </w:r>
    </w:p>
    <w:p w14:paraId="65368F95" w14:textId="6C79499C" w:rsidR="00F11F52" w:rsidRDefault="00F11F52" w:rsidP="00B75032">
      <w:pPr>
        <w:pStyle w:val="ListParagraph"/>
        <w:numPr>
          <w:ilvl w:val="0"/>
          <w:numId w:val="27"/>
        </w:numPr>
        <w:ind w:left="284" w:hanging="284"/>
        <w:rPr>
          <w:lang w:val="en-US"/>
        </w:rPr>
      </w:pPr>
      <w:r>
        <w:rPr>
          <w:lang w:val="en-US"/>
        </w:rPr>
        <w:t>“</w:t>
      </w:r>
      <w:r>
        <w:rPr>
          <w:rFonts w:ascii="Flama Semicondensed Medium" w:hAnsi="Flama Semicondensed Medium"/>
          <w:smallCaps/>
          <w:lang w:val="en-US"/>
        </w:rPr>
        <w:t>Fuel Cell Manufacturer”</w:t>
      </w:r>
      <w:r w:rsidRPr="00B40734">
        <w:rPr>
          <w:lang w:val="en-US"/>
        </w:rPr>
        <w:t xml:space="preserve"> </w:t>
      </w:r>
      <w:r>
        <w:rPr>
          <w:lang w:val="en-US"/>
        </w:rPr>
        <w:t xml:space="preserve">means </w:t>
      </w:r>
      <w:r w:rsidRPr="00FD4408">
        <w:rPr>
          <w:lang w:val="en-US"/>
        </w:rPr>
        <w:t>any company</w:t>
      </w:r>
      <w:r>
        <w:rPr>
          <w:lang w:val="en-US"/>
        </w:rPr>
        <w:t xml:space="preserve"> whose Equipment Type is “Fuel Cells”.</w:t>
      </w:r>
    </w:p>
    <w:p w14:paraId="09746560" w14:textId="77777777" w:rsidR="00C328C2" w:rsidRDefault="00F11F52" w:rsidP="00C328C2">
      <w:pPr>
        <w:pStyle w:val="ListParagraph"/>
        <w:numPr>
          <w:ilvl w:val="0"/>
          <w:numId w:val="27"/>
        </w:numPr>
        <w:ind w:left="284" w:hanging="284"/>
        <w:rPr>
          <w:lang w:val="en-US"/>
        </w:rPr>
      </w:pPr>
      <w:r>
        <w:rPr>
          <w:lang w:val="en-US"/>
        </w:rPr>
        <w:t>“</w:t>
      </w:r>
      <w:r w:rsidRPr="00B7415D">
        <w:rPr>
          <w:rFonts w:ascii="Flama Semicondensed Medium" w:hAnsi="Flama Semicondensed Medium"/>
          <w:smallCaps/>
          <w:lang w:val="en-US"/>
        </w:rPr>
        <w:t xml:space="preserve">Tenders &amp; Contracts” </w:t>
      </w:r>
      <w:r>
        <w:rPr>
          <w:lang w:val="en-US"/>
        </w:rPr>
        <w:t xml:space="preserve">refers to all </w:t>
      </w:r>
      <w:r w:rsidRPr="00D50F76">
        <w:rPr>
          <w:rFonts w:ascii="Flama Semicondensed Medium" w:hAnsi="Flama Semicondensed Medium"/>
          <w:smallCaps/>
          <w:lang w:val="en-US"/>
        </w:rPr>
        <w:t>Clean</w:t>
      </w:r>
      <w:r w:rsidRPr="00DA3B97">
        <w:rPr>
          <w:lang w:val="en-US"/>
        </w:rPr>
        <w:t xml:space="preserve"> </w:t>
      </w:r>
      <w:r w:rsidRPr="00D50F76">
        <w:rPr>
          <w:rFonts w:ascii="Flama Semicondensed Medium" w:hAnsi="Flama Semicondensed Medium"/>
          <w:smallCaps/>
          <w:lang w:val="en-US"/>
        </w:rPr>
        <w:t>Technology</w:t>
      </w:r>
      <w:r>
        <w:rPr>
          <w:lang w:val="en-US"/>
        </w:rPr>
        <w:t xml:space="preserve"> projects over the last 40 quarters prior to and including</w:t>
      </w:r>
      <w:r w:rsidRPr="00FD4408">
        <w:rPr>
          <w:lang w:val="en-US"/>
        </w:rPr>
        <w:t xml:space="preserve"> the immediately preceding quarter</w:t>
      </w:r>
      <w:r w:rsidR="00E95DEA">
        <w:rPr>
          <w:lang w:val="en-US"/>
        </w:rPr>
        <w:t>.</w:t>
      </w:r>
      <w:bookmarkStart w:id="3" w:name="_Hlk108175297"/>
    </w:p>
    <w:p w14:paraId="6A637C99" w14:textId="6AAD14C3" w:rsidR="00C328C2" w:rsidRDefault="00C328C2" w:rsidP="00C328C2">
      <w:pPr>
        <w:pStyle w:val="ListParagraph"/>
        <w:numPr>
          <w:ilvl w:val="0"/>
          <w:numId w:val="27"/>
        </w:numPr>
        <w:ind w:left="284" w:hanging="284"/>
        <w:rPr>
          <w:lang w:val="en-US"/>
        </w:rPr>
      </w:pPr>
      <w:r w:rsidRPr="00C328C2">
        <w:rPr>
          <w:rFonts w:ascii="Flama Semicondensed Medium" w:hAnsi="Flama Semicondensed Medium"/>
          <w:smallCaps/>
          <w:lang w:val="en-US"/>
        </w:rPr>
        <w:t>“ESG Exclusions Index”</w:t>
      </w:r>
      <w:r w:rsidRPr="00C328C2">
        <w:rPr>
          <w:lang w:val="en-US"/>
        </w:rPr>
        <w:t xml:space="preserve"> is the ESG Exclusions Index. For more information on the methodology, please visit: https://solactive.com/downloads/Guideline-Solactive-ESG-Exclusions-Index.pdf</w:t>
      </w:r>
      <w:r w:rsidRPr="00C328C2">
        <w:rPr>
          <w:lang w:val="en-US"/>
        </w:rPr>
        <w:br/>
        <w:t xml:space="preserve">For more information on the current composition, please visit: </w:t>
      </w:r>
      <w:hyperlink r:id="rId13" w:history="1">
        <w:r w:rsidRPr="00C328C2">
          <w:rPr>
            <w:rStyle w:val="Hyperlink"/>
            <w:lang w:val="en-US"/>
          </w:rPr>
          <w:t>https://www.solactive.com/wp-content/uploads/solactiveip/en/Factsheet_ESGEXCLUSIDX.pdf</w:t>
        </w:r>
      </w:hyperlink>
      <w:bookmarkEnd w:id="3"/>
    </w:p>
    <w:p w14:paraId="0D025F00" w14:textId="65E5F01F" w:rsidR="00AF7381" w:rsidRDefault="00AF7381" w:rsidP="00AF7381">
      <w:pPr>
        <w:rPr>
          <w:lang w:val="en-US"/>
        </w:rPr>
      </w:pPr>
    </w:p>
    <w:p w14:paraId="009F65E4" w14:textId="77777777" w:rsidR="00AF7381" w:rsidRDefault="00AF7381" w:rsidP="00AF7381">
      <w:pPr>
        <w:pStyle w:val="Heading1"/>
        <w:rPr>
          <w:lang w:val="en-US" w:eastAsia="en-US"/>
        </w:rPr>
      </w:pPr>
      <w:bookmarkStart w:id="4" w:name="_Toc93593757"/>
      <w:r>
        <w:rPr>
          <w:lang w:val="en-US" w:eastAsia="en-US"/>
        </w:rPr>
        <w:t>Annex A</w:t>
      </w:r>
      <w:bookmarkEnd w:id="4"/>
    </w:p>
    <w:tbl>
      <w:tblPr>
        <w:tblStyle w:val="TableGrid"/>
        <w:tblW w:w="0" w:type="auto"/>
        <w:tblLook w:val="04A0" w:firstRow="1" w:lastRow="0" w:firstColumn="1" w:lastColumn="0" w:noHBand="0" w:noVBand="1"/>
      </w:tblPr>
      <w:tblGrid>
        <w:gridCol w:w="1668"/>
        <w:gridCol w:w="1842"/>
        <w:gridCol w:w="6118"/>
      </w:tblGrid>
      <w:tr w:rsidR="00AF7381" w:rsidRPr="001C76A0" w14:paraId="1933B46F" w14:textId="77777777" w:rsidTr="000F6ABE">
        <w:trPr>
          <w:trHeight w:val="227"/>
        </w:trPr>
        <w:tc>
          <w:tcPr>
            <w:tcW w:w="1668" w:type="dxa"/>
            <w:tcBorders>
              <w:top w:val="single" w:sz="4" w:space="0" w:color="auto"/>
              <w:left w:val="single" w:sz="4" w:space="0" w:color="auto"/>
              <w:bottom w:val="single" w:sz="4" w:space="0" w:color="auto"/>
              <w:right w:val="single" w:sz="4" w:space="0" w:color="auto"/>
            </w:tcBorders>
            <w:hideMark/>
          </w:tcPr>
          <w:p w14:paraId="7E147D9E" w14:textId="77777777" w:rsidR="00AF7381" w:rsidRPr="001C76A0" w:rsidRDefault="00AF7381" w:rsidP="000F6ABE">
            <w:pPr>
              <w:spacing w:before="0" w:after="0"/>
              <w:rPr>
                <w:b/>
                <w:sz w:val="22"/>
                <w:szCs w:val="22"/>
                <w:lang w:val="en-US"/>
              </w:rPr>
            </w:pPr>
            <w:r w:rsidRPr="001C76A0">
              <w:rPr>
                <w:b/>
                <w:sz w:val="22"/>
                <w:szCs w:val="22"/>
                <w:lang w:val="en-US"/>
              </w:rPr>
              <w:t>No.</w:t>
            </w:r>
          </w:p>
        </w:tc>
        <w:tc>
          <w:tcPr>
            <w:tcW w:w="1842" w:type="dxa"/>
            <w:tcBorders>
              <w:top w:val="single" w:sz="4" w:space="0" w:color="auto"/>
              <w:left w:val="single" w:sz="4" w:space="0" w:color="auto"/>
              <w:bottom w:val="single" w:sz="4" w:space="0" w:color="auto"/>
              <w:right w:val="single" w:sz="4" w:space="0" w:color="auto"/>
            </w:tcBorders>
            <w:hideMark/>
          </w:tcPr>
          <w:p w14:paraId="73241387" w14:textId="77777777" w:rsidR="00AF7381" w:rsidRPr="001C76A0" w:rsidRDefault="00AF7381" w:rsidP="000F6ABE">
            <w:pPr>
              <w:spacing w:before="0" w:after="0"/>
              <w:rPr>
                <w:b/>
                <w:sz w:val="22"/>
                <w:szCs w:val="22"/>
                <w:lang w:val="en-US"/>
              </w:rPr>
            </w:pPr>
            <w:r w:rsidRPr="001C76A0">
              <w:rPr>
                <w:b/>
                <w:sz w:val="22"/>
                <w:szCs w:val="22"/>
                <w:lang w:val="en-US"/>
              </w:rPr>
              <w:t>Exchange Code</w:t>
            </w:r>
          </w:p>
        </w:tc>
        <w:tc>
          <w:tcPr>
            <w:tcW w:w="6118" w:type="dxa"/>
            <w:tcBorders>
              <w:top w:val="single" w:sz="4" w:space="0" w:color="auto"/>
              <w:left w:val="single" w:sz="4" w:space="0" w:color="auto"/>
              <w:bottom w:val="single" w:sz="4" w:space="0" w:color="auto"/>
              <w:right w:val="single" w:sz="4" w:space="0" w:color="auto"/>
            </w:tcBorders>
            <w:hideMark/>
          </w:tcPr>
          <w:p w14:paraId="4A0E1475" w14:textId="77777777" w:rsidR="00AF7381" w:rsidRPr="001C76A0" w:rsidRDefault="00AF7381" w:rsidP="000F6ABE">
            <w:pPr>
              <w:spacing w:before="0" w:after="0"/>
              <w:rPr>
                <w:b/>
                <w:sz w:val="22"/>
                <w:szCs w:val="22"/>
                <w:lang w:val="en-US"/>
              </w:rPr>
            </w:pPr>
            <w:r w:rsidRPr="001C76A0">
              <w:rPr>
                <w:b/>
                <w:sz w:val="22"/>
                <w:szCs w:val="22"/>
                <w:lang w:val="en-US"/>
              </w:rPr>
              <w:t>Exchange</w:t>
            </w:r>
          </w:p>
        </w:tc>
      </w:tr>
      <w:tr w:rsidR="00AF7381" w:rsidRPr="001C76A0" w14:paraId="108D8DC9" w14:textId="77777777" w:rsidTr="000F6ABE">
        <w:trPr>
          <w:trHeight w:val="227"/>
        </w:trPr>
        <w:tc>
          <w:tcPr>
            <w:tcW w:w="1668" w:type="dxa"/>
            <w:tcBorders>
              <w:top w:val="single" w:sz="4" w:space="0" w:color="auto"/>
              <w:left w:val="single" w:sz="4" w:space="0" w:color="auto"/>
              <w:bottom w:val="single" w:sz="4" w:space="0" w:color="auto"/>
              <w:right w:val="single" w:sz="4" w:space="0" w:color="auto"/>
            </w:tcBorders>
            <w:hideMark/>
          </w:tcPr>
          <w:p w14:paraId="6F9DB753" w14:textId="77777777" w:rsidR="00AF7381" w:rsidRPr="001C76A0" w:rsidRDefault="00AF7381" w:rsidP="000F6ABE">
            <w:pPr>
              <w:spacing w:before="0" w:after="0"/>
              <w:rPr>
                <w:sz w:val="22"/>
                <w:szCs w:val="22"/>
                <w:lang w:val="en-US"/>
              </w:rPr>
            </w:pPr>
            <w:r w:rsidRPr="001C76A0">
              <w:rPr>
                <w:sz w:val="22"/>
                <w:szCs w:val="22"/>
                <w:lang w:val="en-US"/>
              </w:rPr>
              <w:t>1</w:t>
            </w:r>
          </w:p>
        </w:tc>
        <w:tc>
          <w:tcPr>
            <w:tcW w:w="1842" w:type="dxa"/>
            <w:tcBorders>
              <w:top w:val="single" w:sz="4" w:space="0" w:color="auto"/>
              <w:left w:val="single" w:sz="4" w:space="0" w:color="auto"/>
              <w:bottom w:val="single" w:sz="4" w:space="0" w:color="auto"/>
              <w:right w:val="single" w:sz="4" w:space="0" w:color="auto"/>
            </w:tcBorders>
            <w:hideMark/>
          </w:tcPr>
          <w:p w14:paraId="108EE36A" w14:textId="77777777" w:rsidR="00AF7381" w:rsidRPr="001C76A0" w:rsidRDefault="00AF7381" w:rsidP="000F6ABE">
            <w:pPr>
              <w:spacing w:before="0" w:after="0"/>
              <w:rPr>
                <w:sz w:val="22"/>
                <w:szCs w:val="22"/>
                <w:lang w:val="en-US"/>
              </w:rPr>
            </w:pPr>
            <w:r w:rsidRPr="001C76A0">
              <w:rPr>
                <w:sz w:val="22"/>
                <w:szCs w:val="22"/>
                <w:lang w:val="en-US"/>
              </w:rPr>
              <w:t>NA</w:t>
            </w:r>
          </w:p>
        </w:tc>
        <w:tc>
          <w:tcPr>
            <w:tcW w:w="6118" w:type="dxa"/>
            <w:tcBorders>
              <w:top w:val="single" w:sz="4" w:space="0" w:color="auto"/>
              <w:left w:val="single" w:sz="4" w:space="0" w:color="auto"/>
              <w:bottom w:val="single" w:sz="4" w:space="0" w:color="auto"/>
              <w:right w:val="single" w:sz="4" w:space="0" w:color="auto"/>
            </w:tcBorders>
            <w:hideMark/>
          </w:tcPr>
          <w:p w14:paraId="54B72183" w14:textId="77777777" w:rsidR="00AF7381" w:rsidRPr="001C76A0" w:rsidRDefault="00AF7381" w:rsidP="000F6ABE">
            <w:pPr>
              <w:spacing w:before="0" w:after="0"/>
              <w:rPr>
                <w:sz w:val="22"/>
                <w:szCs w:val="22"/>
                <w:lang w:val="en-US"/>
              </w:rPr>
            </w:pPr>
            <w:r w:rsidRPr="001C76A0">
              <w:rPr>
                <w:sz w:val="22"/>
                <w:szCs w:val="22"/>
                <w:lang w:val="en-US"/>
              </w:rPr>
              <w:t>Equity Euronext Amsterdam Netherlands</w:t>
            </w:r>
          </w:p>
        </w:tc>
      </w:tr>
      <w:tr w:rsidR="00AF7381" w:rsidRPr="001C76A0" w14:paraId="0517A6AC" w14:textId="77777777" w:rsidTr="000F6ABE">
        <w:trPr>
          <w:trHeight w:val="227"/>
        </w:trPr>
        <w:tc>
          <w:tcPr>
            <w:tcW w:w="1668" w:type="dxa"/>
            <w:tcBorders>
              <w:top w:val="single" w:sz="4" w:space="0" w:color="auto"/>
              <w:left w:val="single" w:sz="4" w:space="0" w:color="auto"/>
              <w:bottom w:val="single" w:sz="4" w:space="0" w:color="auto"/>
              <w:right w:val="single" w:sz="4" w:space="0" w:color="auto"/>
            </w:tcBorders>
            <w:hideMark/>
          </w:tcPr>
          <w:p w14:paraId="218520C7" w14:textId="77777777" w:rsidR="00AF7381" w:rsidRPr="001C76A0" w:rsidRDefault="00AF7381" w:rsidP="000F6ABE">
            <w:pPr>
              <w:spacing w:before="0" w:after="0"/>
              <w:rPr>
                <w:sz w:val="22"/>
                <w:szCs w:val="22"/>
                <w:lang w:val="en-US"/>
              </w:rPr>
            </w:pPr>
            <w:r w:rsidRPr="001C76A0">
              <w:rPr>
                <w:sz w:val="22"/>
                <w:szCs w:val="22"/>
                <w:lang w:val="en-US"/>
              </w:rPr>
              <w:t>2</w:t>
            </w:r>
          </w:p>
        </w:tc>
        <w:tc>
          <w:tcPr>
            <w:tcW w:w="1842" w:type="dxa"/>
            <w:tcBorders>
              <w:top w:val="single" w:sz="4" w:space="0" w:color="auto"/>
              <w:left w:val="single" w:sz="4" w:space="0" w:color="auto"/>
              <w:bottom w:val="single" w:sz="4" w:space="0" w:color="auto"/>
              <w:right w:val="single" w:sz="4" w:space="0" w:color="auto"/>
            </w:tcBorders>
            <w:hideMark/>
          </w:tcPr>
          <w:p w14:paraId="0B473415" w14:textId="77777777" w:rsidR="00AF7381" w:rsidRPr="001C76A0" w:rsidRDefault="00AF7381" w:rsidP="000F6ABE">
            <w:pPr>
              <w:spacing w:before="0" w:after="0"/>
              <w:rPr>
                <w:sz w:val="22"/>
                <w:szCs w:val="22"/>
                <w:lang w:val="en-US"/>
              </w:rPr>
            </w:pPr>
            <w:r w:rsidRPr="001C76A0">
              <w:rPr>
                <w:sz w:val="22"/>
                <w:szCs w:val="22"/>
                <w:lang w:val="en-US"/>
              </w:rPr>
              <w:t>FP</w:t>
            </w:r>
          </w:p>
        </w:tc>
        <w:tc>
          <w:tcPr>
            <w:tcW w:w="6118" w:type="dxa"/>
            <w:tcBorders>
              <w:top w:val="single" w:sz="4" w:space="0" w:color="auto"/>
              <w:left w:val="single" w:sz="4" w:space="0" w:color="auto"/>
              <w:bottom w:val="single" w:sz="4" w:space="0" w:color="auto"/>
              <w:right w:val="single" w:sz="4" w:space="0" w:color="auto"/>
            </w:tcBorders>
            <w:hideMark/>
          </w:tcPr>
          <w:p w14:paraId="45A5CF89" w14:textId="77777777" w:rsidR="00AF7381" w:rsidRPr="001C76A0" w:rsidRDefault="00AF7381" w:rsidP="000F6ABE">
            <w:pPr>
              <w:spacing w:before="0" w:after="0"/>
              <w:rPr>
                <w:sz w:val="22"/>
                <w:szCs w:val="22"/>
                <w:lang w:val="en-US"/>
              </w:rPr>
            </w:pPr>
            <w:r w:rsidRPr="001C76A0">
              <w:rPr>
                <w:sz w:val="22"/>
                <w:szCs w:val="22"/>
                <w:lang w:val="en-US"/>
              </w:rPr>
              <w:t>Equity Euronext Paris France</w:t>
            </w:r>
          </w:p>
        </w:tc>
      </w:tr>
      <w:tr w:rsidR="00AF7381" w:rsidRPr="003E5C6C" w14:paraId="044FE5CE" w14:textId="77777777" w:rsidTr="000F6ABE">
        <w:trPr>
          <w:trHeight w:val="227"/>
        </w:trPr>
        <w:tc>
          <w:tcPr>
            <w:tcW w:w="1668" w:type="dxa"/>
            <w:tcBorders>
              <w:top w:val="single" w:sz="4" w:space="0" w:color="auto"/>
              <w:left w:val="single" w:sz="4" w:space="0" w:color="auto"/>
              <w:bottom w:val="single" w:sz="4" w:space="0" w:color="auto"/>
              <w:right w:val="single" w:sz="4" w:space="0" w:color="auto"/>
            </w:tcBorders>
            <w:hideMark/>
          </w:tcPr>
          <w:p w14:paraId="7761B72C" w14:textId="77777777" w:rsidR="00AF7381" w:rsidRPr="001C76A0" w:rsidRDefault="00AF7381" w:rsidP="000F6ABE">
            <w:pPr>
              <w:spacing w:before="0" w:after="0"/>
              <w:rPr>
                <w:sz w:val="22"/>
                <w:szCs w:val="22"/>
                <w:lang w:val="en-US"/>
              </w:rPr>
            </w:pPr>
            <w:r w:rsidRPr="001C76A0">
              <w:rPr>
                <w:sz w:val="22"/>
                <w:szCs w:val="22"/>
                <w:lang w:val="en-US"/>
              </w:rPr>
              <w:t>3</w:t>
            </w:r>
          </w:p>
        </w:tc>
        <w:tc>
          <w:tcPr>
            <w:tcW w:w="1842" w:type="dxa"/>
            <w:tcBorders>
              <w:top w:val="single" w:sz="4" w:space="0" w:color="auto"/>
              <w:left w:val="single" w:sz="4" w:space="0" w:color="auto"/>
              <w:bottom w:val="single" w:sz="4" w:space="0" w:color="auto"/>
              <w:right w:val="single" w:sz="4" w:space="0" w:color="auto"/>
            </w:tcBorders>
            <w:hideMark/>
          </w:tcPr>
          <w:p w14:paraId="7ABD1701" w14:textId="77777777" w:rsidR="00AF7381" w:rsidRPr="001C76A0" w:rsidRDefault="00AF7381" w:rsidP="000F6ABE">
            <w:pPr>
              <w:spacing w:before="0" w:after="0"/>
              <w:rPr>
                <w:sz w:val="22"/>
                <w:szCs w:val="22"/>
                <w:lang w:val="en-US"/>
              </w:rPr>
            </w:pPr>
            <w:r w:rsidRPr="001C76A0">
              <w:rPr>
                <w:sz w:val="22"/>
                <w:szCs w:val="22"/>
                <w:lang w:val="en-US"/>
              </w:rPr>
              <w:t>FH</w:t>
            </w:r>
          </w:p>
        </w:tc>
        <w:tc>
          <w:tcPr>
            <w:tcW w:w="6118" w:type="dxa"/>
            <w:tcBorders>
              <w:top w:val="single" w:sz="4" w:space="0" w:color="auto"/>
              <w:left w:val="single" w:sz="4" w:space="0" w:color="auto"/>
              <w:bottom w:val="single" w:sz="4" w:space="0" w:color="auto"/>
              <w:right w:val="single" w:sz="4" w:space="0" w:color="auto"/>
            </w:tcBorders>
            <w:hideMark/>
          </w:tcPr>
          <w:p w14:paraId="432883AA" w14:textId="77777777" w:rsidR="00AF7381" w:rsidRPr="001C76A0" w:rsidRDefault="00AF7381" w:rsidP="000F6ABE">
            <w:pPr>
              <w:spacing w:before="0" w:after="0"/>
              <w:rPr>
                <w:sz w:val="22"/>
                <w:szCs w:val="22"/>
                <w:lang w:val="en-US"/>
              </w:rPr>
            </w:pPr>
            <w:r w:rsidRPr="001C76A0">
              <w:rPr>
                <w:sz w:val="22"/>
                <w:szCs w:val="22"/>
                <w:lang w:val="en-US"/>
              </w:rPr>
              <w:t>Equity Helsinki Stock Exchange Finland</w:t>
            </w:r>
          </w:p>
        </w:tc>
      </w:tr>
      <w:tr w:rsidR="00AF7381" w:rsidRPr="003E5C6C" w14:paraId="1C608CFF" w14:textId="77777777" w:rsidTr="000F6ABE">
        <w:trPr>
          <w:trHeight w:val="227"/>
        </w:trPr>
        <w:tc>
          <w:tcPr>
            <w:tcW w:w="1668" w:type="dxa"/>
            <w:tcBorders>
              <w:top w:val="single" w:sz="4" w:space="0" w:color="auto"/>
              <w:left w:val="single" w:sz="4" w:space="0" w:color="auto"/>
              <w:bottom w:val="single" w:sz="4" w:space="0" w:color="auto"/>
              <w:right w:val="single" w:sz="4" w:space="0" w:color="auto"/>
            </w:tcBorders>
            <w:hideMark/>
          </w:tcPr>
          <w:p w14:paraId="082FC989" w14:textId="77777777" w:rsidR="00AF7381" w:rsidRPr="001C76A0" w:rsidRDefault="00AF7381" w:rsidP="000F6ABE">
            <w:pPr>
              <w:spacing w:before="0" w:after="0"/>
              <w:rPr>
                <w:sz w:val="22"/>
                <w:szCs w:val="22"/>
                <w:lang w:val="en-US"/>
              </w:rPr>
            </w:pPr>
            <w:r w:rsidRPr="001C76A0">
              <w:rPr>
                <w:sz w:val="22"/>
                <w:szCs w:val="22"/>
                <w:lang w:val="en-US"/>
              </w:rPr>
              <w:t>4</w:t>
            </w:r>
          </w:p>
        </w:tc>
        <w:tc>
          <w:tcPr>
            <w:tcW w:w="1842" w:type="dxa"/>
            <w:tcBorders>
              <w:top w:val="single" w:sz="4" w:space="0" w:color="auto"/>
              <w:left w:val="single" w:sz="4" w:space="0" w:color="auto"/>
              <w:bottom w:val="single" w:sz="4" w:space="0" w:color="auto"/>
              <w:right w:val="single" w:sz="4" w:space="0" w:color="auto"/>
            </w:tcBorders>
            <w:hideMark/>
          </w:tcPr>
          <w:p w14:paraId="2C533B00" w14:textId="77777777" w:rsidR="00AF7381" w:rsidRPr="001C76A0" w:rsidRDefault="00AF7381" w:rsidP="000F6ABE">
            <w:pPr>
              <w:spacing w:before="0" w:after="0"/>
              <w:rPr>
                <w:sz w:val="22"/>
                <w:szCs w:val="22"/>
                <w:lang w:val="en-US"/>
              </w:rPr>
            </w:pPr>
            <w:r w:rsidRPr="001C76A0">
              <w:rPr>
                <w:sz w:val="22"/>
                <w:szCs w:val="22"/>
                <w:lang w:val="en-US"/>
              </w:rPr>
              <w:t>HK</w:t>
            </w:r>
          </w:p>
        </w:tc>
        <w:tc>
          <w:tcPr>
            <w:tcW w:w="6118" w:type="dxa"/>
            <w:tcBorders>
              <w:top w:val="single" w:sz="4" w:space="0" w:color="auto"/>
              <w:left w:val="single" w:sz="4" w:space="0" w:color="auto"/>
              <w:bottom w:val="single" w:sz="4" w:space="0" w:color="auto"/>
              <w:right w:val="single" w:sz="4" w:space="0" w:color="auto"/>
            </w:tcBorders>
            <w:hideMark/>
          </w:tcPr>
          <w:p w14:paraId="100B4B9D" w14:textId="77777777" w:rsidR="00AF7381" w:rsidRPr="001C76A0" w:rsidRDefault="00AF7381" w:rsidP="000F6ABE">
            <w:pPr>
              <w:spacing w:before="0" w:after="0"/>
              <w:rPr>
                <w:sz w:val="22"/>
                <w:szCs w:val="22"/>
                <w:lang w:val="en-US"/>
              </w:rPr>
            </w:pPr>
            <w:r w:rsidRPr="001C76A0">
              <w:rPr>
                <w:sz w:val="22"/>
                <w:szCs w:val="22"/>
                <w:lang w:val="en-US"/>
              </w:rPr>
              <w:t>Equity Hong Kong Stock Exchange China</w:t>
            </w:r>
          </w:p>
        </w:tc>
      </w:tr>
      <w:tr w:rsidR="00AF7381" w:rsidRPr="003E5C6C" w14:paraId="1135F397" w14:textId="77777777" w:rsidTr="000F6ABE">
        <w:trPr>
          <w:trHeight w:val="227"/>
        </w:trPr>
        <w:tc>
          <w:tcPr>
            <w:tcW w:w="1668" w:type="dxa"/>
            <w:tcBorders>
              <w:top w:val="single" w:sz="4" w:space="0" w:color="auto"/>
              <w:left w:val="single" w:sz="4" w:space="0" w:color="auto"/>
              <w:bottom w:val="single" w:sz="4" w:space="0" w:color="auto"/>
              <w:right w:val="single" w:sz="4" w:space="0" w:color="auto"/>
            </w:tcBorders>
            <w:hideMark/>
          </w:tcPr>
          <w:p w14:paraId="3F0DC6A3" w14:textId="77777777" w:rsidR="00AF7381" w:rsidRPr="001C76A0" w:rsidRDefault="00AF7381" w:rsidP="000F6ABE">
            <w:pPr>
              <w:spacing w:before="0" w:after="0"/>
              <w:rPr>
                <w:sz w:val="22"/>
                <w:szCs w:val="22"/>
                <w:lang w:val="en-US"/>
              </w:rPr>
            </w:pPr>
            <w:r w:rsidRPr="001C76A0">
              <w:rPr>
                <w:sz w:val="22"/>
                <w:szCs w:val="22"/>
                <w:lang w:val="en-US"/>
              </w:rPr>
              <w:t>5</w:t>
            </w:r>
          </w:p>
        </w:tc>
        <w:tc>
          <w:tcPr>
            <w:tcW w:w="1842" w:type="dxa"/>
            <w:tcBorders>
              <w:top w:val="single" w:sz="4" w:space="0" w:color="auto"/>
              <w:left w:val="single" w:sz="4" w:space="0" w:color="auto"/>
              <w:bottom w:val="single" w:sz="4" w:space="0" w:color="auto"/>
              <w:right w:val="single" w:sz="4" w:space="0" w:color="auto"/>
            </w:tcBorders>
            <w:hideMark/>
          </w:tcPr>
          <w:p w14:paraId="0E8A374E" w14:textId="77777777" w:rsidR="00AF7381" w:rsidRPr="001C76A0" w:rsidRDefault="00AF7381" w:rsidP="000F6ABE">
            <w:pPr>
              <w:spacing w:before="0" w:after="0"/>
              <w:rPr>
                <w:sz w:val="22"/>
                <w:szCs w:val="22"/>
                <w:lang w:val="en-US"/>
              </w:rPr>
            </w:pPr>
            <w:r w:rsidRPr="001C76A0">
              <w:rPr>
                <w:sz w:val="22"/>
                <w:szCs w:val="22"/>
                <w:lang w:val="en-US"/>
              </w:rPr>
              <w:t>KP</w:t>
            </w:r>
          </w:p>
        </w:tc>
        <w:tc>
          <w:tcPr>
            <w:tcW w:w="6118" w:type="dxa"/>
            <w:tcBorders>
              <w:top w:val="single" w:sz="4" w:space="0" w:color="auto"/>
              <w:left w:val="single" w:sz="4" w:space="0" w:color="auto"/>
              <w:bottom w:val="single" w:sz="4" w:space="0" w:color="auto"/>
              <w:right w:val="single" w:sz="4" w:space="0" w:color="auto"/>
            </w:tcBorders>
            <w:hideMark/>
          </w:tcPr>
          <w:p w14:paraId="677867E0" w14:textId="77777777" w:rsidR="00AF7381" w:rsidRPr="001C76A0" w:rsidRDefault="00AF7381" w:rsidP="000F6ABE">
            <w:pPr>
              <w:spacing w:before="0" w:after="0"/>
              <w:rPr>
                <w:sz w:val="22"/>
                <w:szCs w:val="22"/>
                <w:lang w:val="en-US"/>
              </w:rPr>
            </w:pPr>
            <w:r w:rsidRPr="001C76A0">
              <w:rPr>
                <w:sz w:val="22"/>
                <w:szCs w:val="22"/>
                <w:lang w:val="en-US"/>
              </w:rPr>
              <w:t>Equity Korea Stock Exchange Korea</w:t>
            </w:r>
          </w:p>
        </w:tc>
      </w:tr>
      <w:tr w:rsidR="00AF7381" w:rsidRPr="003E5C6C" w14:paraId="07221B40" w14:textId="77777777" w:rsidTr="000F6ABE">
        <w:trPr>
          <w:trHeight w:val="227"/>
        </w:trPr>
        <w:tc>
          <w:tcPr>
            <w:tcW w:w="1668" w:type="dxa"/>
            <w:tcBorders>
              <w:top w:val="single" w:sz="4" w:space="0" w:color="auto"/>
              <w:left w:val="single" w:sz="4" w:space="0" w:color="auto"/>
              <w:bottom w:val="single" w:sz="4" w:space="0" w:color="auto"/>
              <w:right w:val="single" w:sz="4" w:space="0" w:color="auto"/>
            </w:tcBorders>
          </w:tcPr>
          <w:p w14:paraId="5DCE9AF4" w14:textId="77777777" w:rsidR="00AF7381" w:rsidRPr="001C76A0" w:rsidRDefault="00AF7381" w:rsidP="000F6ABE">
            <w:pPr>
              <w:spacing w:before="0" w:after="0"/>
              <w:rPr>
                <w:sz w:val="22"/>
                <w:szCs w:val="22"/>
                <w:lang w:val="en-US"/>
              </w:rPr>
            </w:pPr>
            <w:r w:rsidRPr="001C76A0">
              <w:rPr>
                <w:sz w:val="22"/>
                <w:szCs w:val="22"/>
                <w:lang w:val="en-US"/>
              </w:rPr>
              <w:t>6</w:t>
            </w:r>
          </w:p>
        </w:tc>
        <w:tc>
          <w:tcPr>
            <w:tcW w:w="1842" w:type="dxa"/>
            <w:tcBorders>
              <w:top w:val="single" w:sz="4" w:space="0" w:color="auto"/>
              <w:left w:val="single" w:sz="4" w:space="0" w:color="auto"/>
              <w:bottom w:val="single" w:sz="4" w:space="0" w:color="auto"/>
              <w:right w:val="single" w:sz="4" w:space="0" w:color="auto"/>
            </w:tcBorders>
          </w:tcPr>
          <w:p w14:paraId="5A1B7E32" w14:textId="77777777" w:rsidR="00AF7381" w:rsidRPr="001C76A0" w:rsidRDefault="00AF7381" w:rsidP="000F6ABE">
            <w:pPr>
              <w:spacing w:before="0" w:after="0"/>
              <w:rPr>
                <w:sz w:val="22"/>
                <w:szCs w:val="22"/>
                <w:lang w:val="en-US"/>
              </w:rPr>
            </w:pPr>
            <w:r>
              <w:rPr>
                <w:sz w:val="22"/>
                <w:szCs w:val="22"/>
                <w:lang w:val="en-US"/>
              </w:rPr>
              <w:t>KQ</w:t>
            </w:r>
          </w:p>
        </w:tc>
        <w:tc>
          <w:tcPr>
            <w:tcW w:w="6118" w:type="dxa"/>
            <w:tcBorders>
              <w:top w:val="single" w:sz="4" w:space="0" w:color="auto"/>
              <w:left w:val="single" w:sz="4" w:space="0" w:color="auto"/>
              <w:bottom w:val="single" w:sz="4" w:space="0" w:color="auto"/>
              <w:right w:val="single" w:sz="4" w:space="0" w:color="auto"/>
            </w:tcBorders>
          </w:tcPr>
          <w:p w14:paraId="6BC53228" w14:textId="77777777" w:rsidR="00AF7381" w:rsidRPr="001C76A0" w:rsidRDefault="00AF7381" w:rsidP="000F6ABE">
            <w:pPr>
              <w:spacing w:before="0" w:after="0"/>
              <w:rPr>
                <w:sz w:val="22"/>
                <w:szCs w:val="22"/>
                <w:lang w:val="en-US"/>
              </w:rPr>
            </w:pPr>
            <w:r w:rsidRPr="001C76A0">
              <w:rPr>
                <w:sz w:val="22"/>
                <w:szCs w:val="22"/>
                <w:lang w:val="en-US"/>
              </w:rPr>
              <w:t>E</w:t>
            </w:r>
            <w:r>
              <w:rPr>
                <w:sz w:val="22"/>
                <w:szCs w:val="22"/>
                <w:lang w:val="en-US"/>
              </w:rPr>
              <w:t xml:space="preserve">quity </w:t>
            </w:r>
            <w:proofErr w:type="spellStart"/>
            <w:r>
              <w:rPr>
                <w:sz w:val="22"/>
                <w:szCs w:val="22"/>
                <w:lang w:val="en-US"/>
              </w:rPr>
              <w:t>Kosdaq</w:t>
            </w:r>
            <w:proofErr w:type="spellEnd"/>
            <w:r>
              <w:rPr>
                <w:sz w:val="22"/>
                <w:szCs w:val="22"/>
                <w:lang w:val="en-US"/>
              </w:rPr>
              <w:t xml:space="preserve"> Stock Exchange Korea</w:t>
            </w:r>
          </w:p>
        </w:tc>
      </w:tr>
      <w:tr w:rsidR="00AF7381" w:rsidRPr="003E5C6C" w14:paraId="215015F8" w14:textId="77777777" w:rsidTr="000F6ABE">
        <w:trPr>
          <w:trHeight w:val="227"/>
        </w:trPr>
        <w:tc>
          <w:tcPr>
            <w:tcW w:w="1668" w:type="dxa"/>
            <w:tcBorders>
              <w:top w:val="single" w:sz="4" w:space="0" w:color="auto"/>
              <w:left w:val="single" w:sz="4" w:space="0" w:color="auto"/>
              <w:bottom w:val="single" w:sz="4" w:space="0" w:color="auto"/>
              <w:right w:val="single" w:sz="4" w:space="0" w:color="auto"/>
            </w:tcBorders>
          </w:tcPr>
          <w:p w14:paraId="427C1D53" w14:textId="77777777" w:rsidR="00AF7381" w:rsidRPr="001C76A0" w:rsidRDefault="00AF7381" w:rsidP="000F6ABE">
            <w:pPr>
              <w:spacing w:before="0" w:after="0"/>
              <w:rPr>
                <w:sz w:val="22"/>
                <w:szCs w:val="22"/>
                <w:lang w:val="en-US"/>
              </w:rPr>
            </w:pPr>
            <w:r w:rsidRPr="001C76A0">
              <w:rPr>
                <w:sz w:val="22"/>
                <w:szCs w:val="22"/>
                <w:lang w:val="en-US"/>
              </w:rPr>
              <w:t>7</w:t>
            </w:r>
          </w:p>
        </w:tc>
        <w:tc>
          <w:tcPr>
            <w:tcW w:w="1842" w:type="dxa"/>
            <w:tcBorders>
              <w:top w:val="single" w:sz="4" w:space="0" w:color="auto"/>
              <w:left w:val="single" w:sz="4" w:space="0" w:color="auto"/>
              <w:bottom w:val="single" w:sz="4" w:space="0" w:color="auto"/>
              <w:right w:val="single" w:sz="4" w:space="0" w:color="auto"/>
            </w:tcBorders>
          </w:tcPr>
          <w:p w14:paraId="2E7DC009" w14:textId="77777777" w:rsidR="00AF7381" w:rsidRPr="001C76A0" w:rsidRDefault="00AF7381" w:rsidP="000F6ABE">
            <w:pPr>
              <w:spacing w:before="0" w:after="0"/>
              <w:rPr>
                <w:sz w:val="22"/>
                <w:szCs w:val="22"/>
                <w:lang w:val="en-US"/>
              </w:rPr>
            </w:pPr>
            <w:r w:rsidRPr="001C76A0">
              <w:rPr>
                <w:sz w:val="22"/>
                <w:szCs w:val="22"/>
                <w:lang w:val="en-US"/>
              </w:rPr>
              <w:t>LN</w:t>
            </w:r>
          </w:p>
        </w:tc>
        <w:tc>
          <w:tcPr>
            <w:tcW w:w="6118" w:type="dxa"/>
            <w:tcBorders>
              <w:top w:val="single" w:sz="4" w:space="0" w:color="auto"/>
              <w:left w:val="single" w:sz="4" w:space="0" w:color="auto"/>
              <w:bottom w:val="single" w:sz="4" w:space="0" w:color="auto"/>
              <w:right w:val="single" w:sz="4" w:space="0" w:color="auto"/>
            </w:tcBorders>
          </w:tcPr>
          <w:p w14:paraId="293CECAB" w14:textId="77777777" w:rsidR="00AF7381" w:rsidRPr="001C76A0" w:rsidRDefault="00AF7381" w:rsidP="000F6ABE">
            <w:pPr>
              <w:spacing w:before="0" w:after="0"/>
              <w:rPr>
                <w:sz w:val="22"/>
                <w:szCs w:val="22"/>
                <w:lang w:val="en-US"/>
              </w:rPr>
            </w:pPr>
            <w:r w:rsidRPr="001C76A0">
              <w:rPr>
                <w:sz w:val="22"/>
                <w:szCs w:val="22"/>
                <w:lang w:val="en-US"/>
              </w:rPr>
              <w:t>Equity London Stock Exchange United Kingdom</w:t>
            </w:r>
          </w:p>
        </w:tc>
      </w:tr>
      <w:tr w:rsidR="00AF7381" w:rsidRPr="003E5C6C" w14:paraId="53FF1BF9" w14:textId="77777777" w:rsidTr="000F6ABE">
        <w:trPr>
          <w:trHeight w:val="227"/>
        </w:trPr>
        <w:tc>
          <w:tcPr>
            <w:tcW w:w="1668" w:type="dxa"/>
            <w:tcBorders>
              <w:top w:val="single" w:sz="4" w:space="0" w:color="auto"/>
              <w:left w:val="single" w:sz="4" w:space="0" w:color="auto"/>
              <w:bottom w:val="single" w:sz="4" w:space="0" w:color="auto"/>
              <w:right w:val="single" w:sz="4" w:space="0" w:color="auto"/>
            </w:tcBorders>
          </w:tcPr>
          <w:p w14:paraId="18678744" w14:textId="77777777" w:rsidR="00AF7381" w:rsidRPr="001C76A0" w:rsidRDefault="00AF7381" w:rsidP="000F6ABE">
            <w:pPr>
              <w:spacing w:before="0" w:after="0"/>
              <w:rPr>
                <w:sz w:val="22"/>
                <w:szCs w:val="22"/>
                <w:lang w:val="en-US"/>
              </w:rPr>
            </w:pPr>
            <w:r w:rsidRPr="001C76A0">
              <w:rPr>
                <w:sz w:val="22"/>
                <w:szCs w:val="22"/>
                <w:lang w:val="en-US"/>
              </w:rPr>
              <w:t>8</w:t>
            </w:r>
          </w:p>
        </w:tc>
        <w:tc>
          <w:tcPr>
            <w:tcW w:w="1842" w:type="dxa"/>
            <w:tcBorders>
              <w:top w:val="single" w:sz="4" w:space="0" w:color="auto"/>
              <w:left w:val="single" w:sz="4" w:space="0" w:color="auto"/>
              <w:bottom w:val="single" w:sz="4" w:space="0" w:color="auto"/>
              <w:right w:val="single" w:sz="4" w:space="0" w:color="auto"/>
            </w:tcBorders>
          </w:tcPr>
          <w:p w14:paraId="56BCE9B5" w14:textId="77777777" w:rsidR="00AF7381" w:rsidRPr="001C76A0" w:rsidRDefault="00AF7381" w:rsidP="000F6ABE">
            <w:pPr>
              <w:spacing w:before="0" w:after="0"/>
              <w:rPr>
                <w:sz w:val="22"/>
                <w:szCs w:val="22"/>
                <w:lang w:val="en-US"/>
              </w:rPr>
            </w:pPr>
            <w:r w:rsidRPr="001C76A0">
              <w:rPr>
                <w:sz w:val="22"/>
                <w:szCs w:val="22"/>
                <w:lang w:val="en-US"/>
              </w:rPr>
              <w:t>UQ</w:t>
            </w:r>
          </w:p>
        </w:tc>
        <w:tc>
          <w:tcPr>
            <w:tcW w:w="6118" w:type="dxa"/>
            <w:tcBorders>
              <w:top w:val="single" w:sz="4" w:space="0" w:color="auto"/>
              <w:left w:val="single" w:sz="4" w:space="0" w:color="auto"/>
              <w:bottom w:val="single" w:sz="4" w:space="0" w:color="auto"/>
              <w:right w:val="single" w:sz="4" w:space="0" w:color="auto"/>
            </w:tcBorders>
          </w:tcPr>
          <w:p w14:paraId="285EB2D3" w14:textId="77777777" w:rsidR="00AF7381" w:rsidRPr="001C76A0" w:rsidRDefault="00AF7381" w:rsidP="000F6ABE">
            <w:pPr>
              <w:spacing w:before="0" w:after="0"/>
              <w:rPr>
                <w:sz w:val="22"/>
                <w:szCs w:val="22"/>
                <w:lang w:val="en-US"/>
              </w:rPr>
            </w:pPr>
            <w:r w:rsidRPr="001C76A0">
              <w:rPr>
                <w:sz w:val="22"/>
                <w:szCs w:val="22"/>
                <w:lang w:val="en-US"/>
              </w:rPr>
              <w:t>Equity Nasdaq Global Market United States</w:t>
            </w:r>
          </w:p>
        </w:tc>
      </w:tr>
      <w:tr w:rsidR="00AF7381" w:rsidRPr="003E5C6C" w14:paraId="789CB833" w14:textId="77777777" w:rsidTr="000F6ABE">
        <w:trPr>
          <w:trHeight w:val="227"/>
        </w:trPr>
        <w:tc>
          <w:tcPr>
            <w:tcW w:w="1668" w:type="dxa"/>
            <w:tcBorders>
              <w:top w:val="single" w:sz="4" w:space="0" w:color="auto"/>
              <w:left w:val="single" w:sz="4" w:space="0" w:color="auto"/>
              <w:bottom w:val="single" w:sz="4" w:space="0" w:color="auto"/>
              <w:right w:val="single" w:sz="4" w:space="0" w:color="auto"/>
            </w:tcBorders>
          </w:tcPr>
          <w:p w14:paraId="7CE0F8B1" w14:textId="77777777" w:rsidR="00AF7381" w:rsidRPr="001C76A0" w:rsidRDefault="00AF7381" w:rsidP="000F6ABE">
            <w:pPr>
              <w:spacing w:before="0" w:after="0"/>
              <w:rPr>
                <w:sz w:val="22"/>
                <w:szCs w:val="22"/>
                <w:lang w:val="en-US"/>
              </w:rPr>
            </w:pPr>
            <w:r w:rsidRPr="001C76A0">
              <w:rPr>
                <w:sz w:val="22"/>
                <w:szCs w:val="22"/>
                <w:lang w:val="en-US"/>
              </w:rPr>
              <w:t>9</w:t>
            </w:r>
          </w:p>
        </w:tc>
        <w:tc>
          <w:tcPr>
            <w:tcW w:w="1842" w:type="dxa"/>
            <w:tcBorders>
              <w:top w:val="single" w:sz="4" w:space="0" w:color="auto"/>
              <w:left w:val="single" w:sz="4" w:space="0" w:color="auto"/>
              <w:bottom w:val="single" w:sz="4" w:space="0" w:color="auto"/>
              <w:right w:val="single" w:sz="4" w:space="0" w:color="auto"/>
            </w:tcBorders>
          </w:tcPr>
          <w:p w14:paraId="5DB1AB50" w14:textId="77777777" w:rsidR="00AF7381" w:rsidRPr="001C76A0" w:rsidRDefault="00AF7381" w:rsidP="000F6ABE">
            <w:pPr>
              <w:spacing w:before="0" w:after="0"/>
              <w:rPr>
                <w:sz w:val="22"/>
                <w:szCs w:val="22"/>
                <w:lang w:val="en-US"/>
              </w:rPr>
            </w:pPr>
            <w:r w:rsidRPr="001C76A0">
              <w:rPr>
                <w:sz w:val="22"/>
                <w:szCs w:val="22"/>
                <w:lang w:val="en-US"/>
              </w:rPr>
              <w:t>UW</w:t>
            </w:r>
          </w:p>
        </w:tc>
        <w:tc>
          <w:tcPr>
            <w:tcW w:w="6118" w:type="dxa"/>
            <w:tcBorders>
              <w:top w:val="single" w:sz="4" w:space="0" w:color="auto"/>
              <w:left w:val="single" w:sz="4" w:space="0" w:color="auto"/>
              <w:bottom w:val="single" w:sz="4" w:space="0" w:color="auto"/>
              <w:right w:val="single" w:sz="4" w:space="0" w:color="auto"/>
            </w:tcBorders>
          </w:tcPr>
          <w:p w14:paraId="04061693" w14:textId="77777777" w:rsidR="00AF7381" w:rsidRPr="001C76A0" w:rsidRDefault="00AF7381" w:rsidP="000F6ABE">
            <w:pPr>
              <w:spacing w:before="0" w:after="0"/>
              <w:rPr>
                <w:sz w:val="22"/>
                <w:szCs w:val="22"/>
                <w:lang w:val="en-US"/>
              </w:rPr>
            </w:pPr>
            <w:r w:rsidRPr="001C76A0">
              <w:rPr>
                <w:sz w:val="22"/>
                <w:szCs w:val="22"/>
                <w:lang w:val="en-US"/>
              </w:rPr>
              <w:t>Equity Nasdaq Global Select Market United States</w:t>
            </w:r>
          </w:p>
        </w:tc>
      </w:tr>
      <w:tr w:rsidR="00AF7381" w:rsidRPr="003E5C6C" w14:paraId="7DE89CF5" w14:textId="77777777" w:rsidTr="000F6ABE">
        <w:trPr>
          <w:trHeight w:val="227"/>
        </w:trPr>
        <w:tc>
          <w:tcPr>
            <w:tcW w:w="1668" w:type="dxa"/>
            <w:tcBorders>
              <w:top w:val="single" w:sz="4" w:space="0" w:color="auto"/>
              <w:left w:val="single" w:sz="4" w:space="0" w:color="auto"/>
              <w:bottom w:val="single" w:sz="4" w:space="0" w:color="auto"/>
              <w:right w:val="single" w:sz="4" w:space="0" w:color="auto"/>
            </w:tcBorders>
          </w:tcPr>
          <w:p w14:paraId="2F538293" w14:textId="77777777" w:rsidR="00AF7381" w:rsidRPr="001C76A0" w:rsidRDefault="00AF7381" w:rsidP="000F6ABE">
            <w:pPr>
              <w:spacing w:before="0" w:after="0"/>
              <w:rPr>
                <w:sz w:val="22"/>
                <w:szCs w:val="22"/>
                <w:lang w:val="en-US"/>
              </w:rPr>
            </w:pPr>
            <w:r w:rsidRPr="001C76A0">
              <w:rPr>
                <w:sz w:val="22"/>
                <w:szCs w:val="22"/>
                <w:lang w:val="en-US"/>
              </w:rPr>
              <w:t>10</w:t>
            </w:r>
          </w:p>
        </w:tc>
        <w:tc>
          <w:tcPr>
            <w:tcW w:w="1842" w:type="dxa"/>
            <w:tcBorders>
              <w:top w:val="single" w:sz="4" w:space="0" w:color="auto"/>
              <w:left w:val="single" w:sz="4" w:space="0" w:color="auto"/>
              <w:bottom w:val="single" w:sz="4" w:space="0" w:color="auto"/>
              <w:right w:val="single" w:sz="4" w:space="0" w:color="auto"/>
            </w:tcBorders>
          </w:tcPr>
          <w:p w14:paraId="31C51998" w14:textId="77777777" w:rsidR="00AF7381" w:rsidRPr="001C76A0" w:rsidRDefault="00AF7381" w:rsidP="000F6ABE">
            <w:pPr>
              <w:spacing w:before="0" w:after="0"/>
              <w:rPr>
                <w:sz w:val="22"/>
                <w:szCs w:val="22"/>
                <w:lang w:val="en-US"/>
              </w:rPr>
            </w:pPr>
            <w:r w:rsidRPr="001C76A0">
              <w:rPr>
                <w:sz w:val="22"/>
                <w:szCs w:val="22"/>
                <w:lang w:val="en-US"/>
              </w:rPr>
              <w:t>UN</w:t>
            </w:r>
          </w:p>
        </w:tc>
        <w:tc>
          <w:tcPr>
            <w:tcW w:w="6118" w:type="dxa"/>
            <w:tcBorders>
              <w:top w:val="single" w:sz="4" w:space="0" w:color="auto"/>
              <w:left w:val="single" w:sz="4" w:space="0" w:color="auto"/>
              <w:bottom w:val="single" w:sz="4" w:space="0" w:color="auto"/>
              <w:right w:val="single" w:sz="4" w:space="0" w:color="auto"/>
            </w:tcBorders>
          </w:tcPr>
          <w:p w14:paraId="7173AE0A" w14:textId="77777777" w:rsidR="00AF7381" w:rsidRPr="001C76A0" w:rsidRDefault="00AF7381" w:rsidP="000F6ABE">
            <w:pPr>
              <w:spacing w:before="0" w:after="0"/>
              <w:rPr>
                <w:sz w:val="22"/>
                <w:szCs w:val="22"/>
                <w:lang w:val="en-US"/>
              </w:rPr>
            </w:pPr>
            <w:r w:rsidRPr="001C76A0">
              <w:rPr>
                <w:sz w:val="22"/>
                <w:szCs w:val="22"/>
                <w:lang w:val="en-US"/>
              </w:rPr>
              <w:t>Equity New York Stock Exchange United States</w:t>
            </w:r>
          </w:p>
        </w:tc>
      </w:tr>
      <w:tr w:rsidR="00AF7381" w:rsidRPr="00CE324E" w14:paraId="1B354800" w14:textId="77777777" w:rsidTr="000F6ABE">
        <w:trPr>
          <w:trHeight w:val="227"/>
        </w:trPr>
        <w:tc>
          <w:tcPr>
            <w:tcW w:w="1668" w:type="dxa"/>
            <w:tcBorders>
              <w:top w:val="single" w:sz="4" w:space="0" w:color="auto"/>
              <w:left w:val="single" w:sz="4" w:space="0" w:color="auto"/>
              <w:bottom w:val="single" w:sz="4" w:space="0" w:color="auto"/>
              <w:right w:val="single" w:sz="4" w:space="0" w:color="auto"/>
            </w:tcBorders>
          </w:tcPr>
          <w:p w14:paraId="5FDA4F6C" w14:textId="77777777" w:rsidR="00AF7381" w:rsidRPr="001C76A0" w:rsidRDefault="00AF7381" w:rsidP="000F6ABE">
            <w:pPr>
              <w:spacing w:before="0" w:after="0"/>
              <w:rPr>
                <w:sz w:val="22"/>
                <w:szCs w:val="22"/>
                <w:lang w:val="en-US"/>
              </w:rPr>
            </w:pPr>
            <w:r w:rsidRPr="001C76A0">
              <w:rPr>
                <w:sz w:val="22"/>
                <w:szCs w:val="22"/>
                <w:lang w:val="en-US"/>
              </w:rPr>
              <w:t>1</w:t>
            </w:r>
            <w:r>
              <w:rPr>
                <w:sz w:val="22"/>
                <w:szCs w:val="22"/>
                <w:lang w:val="en-US"/>
              </w:rPr>
              <w:t>1</w:t>
            </w:r>
          </w:p>
        </w:tc>
        <w:tc>
          <w:tcPr>
            <w:tcW w:w="1842" w:type="dxa"/>
            <w:tcBorders>
              <w:top w:val="single" w:sz="4" w:space="0" w:color="auto"/>
              <w:left w:val="single" w:sz="4" w:space="0" w:color="auto"/>
              <w:bottom w:val="single" w:sz="4" w:space="0" w:color="auto"/>
              <w:right w:val="single" w:sz="4" w:space="0" w:color="auto"/>
            </w:tcBorders>
          </w:tcPr>
          <w:p w14:paraId="5525DC24" w14:textId="77777777" w:rsidR="00AF7381" w:rsidRPr="001C76A0" w:rsidRDefault="00AF7381" w:rsidP="000F6ABE">
            <w:pPr>
              <w:spacing w:before="0" w:after="0"/>
              <w:rPr>
                <w:sz w:val="22"/>
                <w:szCs w:val="22"/>
                <w:lang w:val="en-US"/>
              </w:rPr>
            </w:pPr>
            <w:r w:rsidRPr="001C76A0">
              <w:rPr>
                <w:sz w:val="22"/>
                <w:szCs w:val="22"/>
                <w:lang w:val="en-US"/>
              </w:rPr>
              <w:t>NO</w:t>
            </w:r>
          </w:p>
        </w:tc>
        <w:tc>
          <w:tcPr>
            <w:tcW w:w="6118" w:type="dxa"/>
            <w:tcBorders>
              <w:top w:val="single" w:sz="4" w:space="0" w:color="auto"/>
              <w:left w:val="single" w:sz="4" w:space="0" w:color="auto"/>
              <w:bottom w:val="single" w:sz="4" w:space="0" w:color="auto"/>
              <w:right w:val="single" w:sz="4" w:space="0" w:color="auto"/>
            </w:tcBorders>
          </w:tcPr>
          <w:p w14:paraId="287B3F39" w14:textId="77777777" w:rsidR="00AF7381" w:rsidRPr="001C76A0" w:rsidRDefault="00AF7381" w:rsidP="000F6ABE">
            <w:pPr>
              <w:spacing w:before="0" w:after="0"/>
              <w:rPr>
                <w:sz w:val="22"/>
                <w:szCs w:val="22"/>
                <w:lang w:val="en-US"/>
              </w:rPr>
            </w:pPr>
            <w:r w:rsidRPr="001C76A0">
              <w:rPr>
                <w:sz w:val="22"/>
                <w:szCs w:val="22"/>
                <w:lang w:val="en-US"/>
              </w:rPr>
              <w:t>Equity Oslo Norway</w:t>
            </w:r>
          </w:p>
        </w:tc>
      </w:tr>
      <w:tr w:rsidR="00AF7381" w:rsidRPr="003E5C6C" w14:paraId="45E21835" w14:textId="77777777" w:rsidTr="000F6ABE">
        <w:trPr>
          <w:trHeight w:val="227"/>
        </w:trPr>
        <w:tc>
          <w:tcPr>
            <w:tcW w:w="1668" w:type="dxa"/>
            <w:tcBorders>
              <w:top w:val="single" w:sz="4" w:space="0" w:color="auto"/>
              <w:left w:val="single" w:sz="4" w:space="0" w:color="auto"/>
              <w:bottom w:val="single" w:sz="4" w:space="0" w:color="auto"/>
              <w:right w:val="single" w:sz="4" w:space="0" w:color="auto"/>
            </w:tcBorders>
          </w:tcPr>
          <w:p w14:paraId="6617D6C1" w14:textId="77777777" w:rsidR="00AF7381" w:rsidRPr="001C76A0" w:rsidRDefault="00AF7381" w:rsidP="000F6ABE">
            <w:pPr>
              <w:spacing w:before="0" w:after="0"/>
              <w:rPr>
                <w:sz w:val="22"/>
                <w:szCs w:val="22"/>
                <w:lang w:val="en-US"/>
              </w:rPr>
            </w:pPr>
            <w:r w:rsidRPr="001C76A0">
              <w:rPr>
                <w:sz w:val="22"/>
                <w:szCs w:val="22"/>
                <w:lang w:val="en-US"/>
              </w:rPr>
              <w:t>1</w:t>
            </w:r>
            <w:r>
              <w:rPr>
                <w:sz w:val="22"/>
                <w:szCs w:val="22"/>
                <w:lang w:val="en-US"/>
              </w:rPr>
              <w:t>2</w:t>
            </w:r>
          </w:p>
        </w:tc>
        <w:tc>
          <w:tcPr>
            <w:tcW w:w="1842" w:type="dxa"/>
            <w:tcBorders>
              <w:top w:val="single" w:sz="4" w:space="0" w:color="auto"/>
              <w:left w:val="single" w:sz="4" w:space="0" w:color="auto"/>
              <w:bottom w:val="single" w:sz="4" w:space="0" w:color="auto"/>
              <w:right w:val="single" w:sz="4" w:space="0" w:color="auto"/>
            </w:tcBorders>
            <w:hideMark/>
          </w:tcPr>
          <w:p w14:paraId="3B969124" w14:textId="77777777" w:rsidR="00AF7381" w:rsidRPr="001C76A0" w:rsidRDefault="00AF7381" w:rsidP="000F6ABE">
            <w:pPr>
              <w:spacing w:before="0" w:after="0"/>
              <w:rPr>
                <w:sz w:val="22"/>
                <w:szCs w:val="22"/>
                <w:lang w:val="en-US"/>
              </w:rPr>
            </w:pPr>
            <w:r>
              <w:rPr>
                <w:sz w:val="22"/>
                <w:szCs w:val="22"/>
                <w:lang w:val="en-US"/>
              </w:rPr>
              <w:t>SE</w:t>
            </w:r>
          </w:p>
        </w:tc>
        <w:tc>
          <w:tcPr>
            <w:tcW w:w="6118" w:type="dxa"/>
            <w:tcBorders>
              <w:top w:val="single" w:sz="4" w:space="0" w:color="auto"/>
              <w:left w:val="single" w:sz="4" w:space="0" w:color="auto"/>
              <w:bottom w:val="single" w:sz="4" w:space="0" w:color="auto"/>
              <w:right w:val="single" w:sz="4" w:space="0" w:color="auto"/>
            </w:tcBorders>
            <w:hideMark/>
          </w:tcPr>
          <w:p w14:paraId="1A4AE28E" w14:textId="77777777" w:rsidR="00AF7381" w:rsidRPr="001C76A0" w:rsidRDefault="00AF7381" w:rsidP="000F6ABE">
            <w:pPr>
              <w:spacing w:before="0" w:after="0"/>
              <w:rPr>
                <w:sz w:val="22"/>
                <w:szCs w:val="22"/>
                <w:lang w:val="en-US"/>
              </w:rPr>
            </w:pPr>
            <w:r w:rsidRPr="001C76A0">
              <w:rPr>
                <w:sz w:val="22"/>
                <w:szCs w:val="22"/>
                <w:lang w:val="en-US"/>
              </w:rPr>
              <w:t>Equity SIX Swiss Exchange Switzerland</w:t>
            </w:r>
          </w:p>
        </w:tc>
      </w:tr>
      <w:tr w:rsidR="00AF7381" w:rsidRPr="003E5C6C" w14:paraId="64C44642" w14:textId="77777777" w:rsidTr="000F6ABE">
        <w:trPr>
          <w:trHeight w:val="227"/>
        </w:trPr>
        <w:tc>
          <w:tcPr>
            <w:tcW w:w="1668" w:type="dxa"/>
            <w:tcBorders>
              <w:top w:val="single" w:sz="4" w:space="0" w:color="auto"/>
              <w:left w:val="single" w:sz="4" w:space="0" w:color="auto"/>
              <w:bottom w:val="single" w:sz="4" w:space="0" w:color="auto"/>
              <w:right w:val="single" w:sz="4" w:space="0" w:color="auto"/>
            </w:tcBorders>
          </w:tcPr>
          <w:p w14:paraId="0DC7930E" w14:textId="77777777" w:rsidR="00AF7381" w:rsidRPr="00622BE3" w:rsidRDefault="00AF7381" w:rsidP="000F6ABE">
            <w:pPr>
              <w:spacing w:before="0" w:after="0"/>
              <w:rPr>
                <w:sz w:val="22"/>
                <w:szCs w:val="22"/>
                <w:lang w:val="en-US"/>
              </w:rPr>
            </w:pPr>
            <w:r w:rsidRPr="00622BE3">
              <w:rPr>
                <w:sz w:val="22"/>
                <w:szCs w:val="22"/>
                <w:lang w:val="en-US"/>
              </w:rPr>
              <w:t>1</w:t>
            </w:r>
            <w:r>
              <w:rPr>
                <w:sz w:val="22"/>
                <w:szCs w:val="22"/>
                <w:lang w:val="en-US"/>
              </w:rPr>
              <w:t>3</w:t>
            </w:r>
          </w:p>
        </w:tc>
        <w:tc>
          <w:tcPr>
            <w:tcW w:w="1842" w:type="dxa"/>
            <w:tcBorders>
              <w:top w:val="single" w:sz="4" w:space="0" w:color="auto"/>
              <w:left w:val="single" w:sz="4" w:space="0" w:color="auto"/>
              <w:bottom w:val="single" w:sz="4" w:space="0" w:color="auto"/>
              <w:right w:val="single" w:sz="4" w:space="0" w:color="auto"/>
            </w:tcBorders>
            <w:hideMark/>
          </w:tcPr>
          <w:p w14:paraId="3C6145D8" w14:textId="77777777" w:rsidR="00AF7381" w:rsidRPr="00622BE3" w:rsidRDefault="00AF7381" w:rsidP="000F6ABE">
            <w:pPr>
              <w:spacing w:before="0" w:after="0"/>
              <w:rPr>
                <w:sz w:val="22"/>
                <w:szCs w:val="22"/>
                <w:lang w:val="en-US"/>
              </w:rPr>
            </w:pPr>
            <w:r w:rsidRPr="00622BE3">
              <w:rPr>
                <w:sz w:val="22"/>
                <w:szCs w:val="22"/>
                <w:lang w:val="en-US"/>
              </w:rPr>
              <w:t>SS</w:t>
            </w:r>
          </w:p>
        </w:tc>
        <w:tc>
          <w:tcPr>
            <w:tcW w:w="6118" w:type="dxa"/>
            <w:tcBorders>
              <w:top w:val="single" w:sz="4" w:space="0" w:color="auto"/>
              <w:left w:val="single" w:sz="4" w:space="0" w:color="auto"/>
              <w:bottom w:val="single" w:sz="4" w:space="0" w:color="auto"/>
              <w:right w:val="single" w:sz="4" w:space="0" w:color="auto"/>
            </w:tcBorders>
            <w:hideMark/>
          </w:tcPr>
          <w:p w14:paraId="7AC14D6D" w14:textId="77777777" w:rsidR="00AF7381" w:rsidRPr="00622BE3" w:rsidRDefault="00AF7381" w:rsidP="000F6ABE">
            <w:pPr>
              <w:spacing w:before="0" w:after="0"/>
              <w:rPr>
                <w:sz w:val="22"/>
                <w:szCs w:val="22"/>
                <w:lang w:val="en-US"/>
              </w:rPr>
            </w:pPr>
            <w:r w:rsidRPr="00622BE3">
              <w:rPr>
                <w:sz w:val="22"/>
                <w:szCs w:val="22"/>
                <w:lang w:val="en-US"/>
              </w:rPr>
              <w:t>Equity Stockholm Stock Exchange Sweden</w:t>
            </w:r>
          </w:p>
        </w:tc>
      </w:tr>
      <w:tr w:rsidR="00AF7381" w:rsidRPr="003E5C6C" w14:paraId="68198732" w14:textId="77777777" w:rsidTr="000F6ABE">
        <w:trPr>
          <w:trHeight w:val="227"/>
        </w:trPr>
        <w:tc>
          <w:tcPr>
            <w:tcW w:w="1668" w:type="dxa"/>
            <w:tcBorders>
              <w:top w:val="single" w:sz="4" w:space="0" w:color="auto"/>
              <w:left w:val="single" w:sz="4" w:space="0" w:color="auto"/>
              <w:bottom w:val="single" w:sz="4" w:space="0" w:color="auto"/>
              <w:right w:val="single" w:sz="4" w:space="0" w:color="auto"/>
            </w:tcBorders>
          </w:tcPr>
          <w:p w14:paraId="58C82EF6" w14:textId="77777777" w:rsidR="00AF7381" w:rsidRPr="00622BE3" w:rsidRDefault="00AF7381" w:rsidP="000F6ABE">
            <w:pPr>
              <w:spacing w:before="0" w:after="0"/>
              <w:rPr>
                <w:sz w:val="22"/>
                <w:szCs w:val="22"/>
                <w:lang w:val="en-US"/>
              </w:rPr>
            </w:pPr>
            <w:r w:rsidRPr="00622BE3">
              <w:rPr>
                <w:sz w:val="22"/>
                <w:szCs w:val="22"/>
                <w:lang w:val="en-US"/>
              </w:rPr>
              <w:t>1</w:t>
            </w:r>
            <w:r>
              <w:rPr>
                <w:sz w:val="22"/>
                <w:szCs w:val="22"/>
                <w:lang w:val="en-US"/>
              </w:rPr>
              <w:t>4</w:t>
            </w:r>
          </w:p>
        </w:tc>
        <w:tc>
          <w:tcPr>
            <w:tcW w:w="1842" w:type="dxa"/>
            <w:tcBorders>
              <w:top w:val="single" w:sz="4" w:space="0" w:color="auto"/>
              <w:left w:val="single" w:sz="4" w:space="0" w:color="auto"/>
              <w:bottom w:val="single" w:sz="4" w:space="0" w:color="auto"/>
              <w:right w:val="single" w:sz="4" w:space="0" w:color="auto"/>
            </w:tcBorders>
          </w:tcPr>
          <w:p w14:paraId="12BE7D2B" w14:textId="77777777" w:rsidR="00AF7381" w:rsidRPr="00622BE3" w:rsidRDefault="00AF7381" w:rsidP="000F6ABE">
            <w:pPr>
              <w:spacing w:before="0" w:after="0"/>
              <w:rPr>
                <w:sz w:val="22"/>
                <w:szCs w:val="22"/>
                <w:lang w:val="en-US"/>
              </w:rPr>
            </w:pPr>
            <w:r w:rsidRPr="00622BE3">
              <w:rPr>
                <w:sz w:val="22"/>
                <w:szCs w:val="22"/>
                <w:lang w:val="en-US"/>
              </w:rPr>
              <w:t>SF</w:t>
            </w:r>
          </w:p>
        </w:tc>
        <w:tc>
          <w:tcPr>
            <w:tcW w:w="6118" w:type="dxa"/>
            <w:tcBorders>
              <w:top w:val="single" w:sz="4" w:space="0" w:color="auto"/>
              <w:left w:val="single" w:sz="4" w:space="0" w:color="auto"/>
              <w:bottom w:val="single" w:sz="4" w:space="0" w:color="auto"/>
              <w:right w:val="single" w:sz="4" w:space="0" w:color="auto"/>
            </w:tcBorders>
          </w:tcPr>
          <w:p w14:paraId="30D4A061" w14:textId="77777777" w:rsidR="00AF7381" w:rsidRPr="00622BE3" w:rsidRDefault="00AF7381" w:rsidP="000F6ABE">
            <w:pPr>
              <w:spacing w:before="0" w:after="0"/>
              <w:rPr>
                <w:sz w:val="22"/>
                <w:szCs w:val="22"/>
                <w:lang w:val="en-US"/>
              </w:rPr>
            </w:pPr>
            <w:r w:rsidRPr="00622BE3">
              <w:rPr>
                <w:sz w:val="22"/>
                <w:szCs w:val="22"/>
                <w:lang w:val="en-US"/>
              </w:rPr>
              <w:t>Equity First North Stockholm Sweden</w:t>
            </w:r>
          </w:p>
        </w:tc>
      </w:tr>
      <w:tr w:rsidR="00AF7381" w:rsidRPr="003E5C6C" w14:paraId="19F3A353" w14:textId="77777777" w:rsidTr="000F6ABE">
        <w:trPr>
          <w:trHeight w:val="227"/>
        </w:trPr>
        <w:tc>
          <w:tcPr>
            <w:tcW w:w="1668" w:type="dxa"/>
            <w:tcBorders>
              <w:top w:val="single" w:sz="4" w:space="0" w:color="auto"/>
              <w:left w:val="single" w:sz="4" w:space="0" w:color="auto"/>
              <w:bottom w:val="single" w:sz="4" w:space="0" w:color="auto"/>
              <w:right w:val="single" w:sz="4" w:space="0" w:color="auto"/>
            </w:tcBorders>
          </w:tcPr>
          <w:p w14:paraId="366480D3" w14:textId="77777777" w:rsidR="00AF7381" w:rsidRPr="001C76A0" w:rsidRDefault="00AF7381" w:rsidP="000F6ABE">
            <w:pPr>
              <w:spacing w:before="0" w:after="0"/>
              <w:rPr>
                <w:sz w:val="22"/>
                <w:szCs w:val="22"/>
                <w:lang w:val="en-US"/>
              </w:rPr>
            </w:pPr>
            <w:r w:rsidRPr="001C76A0">
              <w:rPr>
                <w:sz w:val="22"/>
                <w:szCs w:val="22"/>
                <w:lang w:val="en-US"/>
              </w:rPr>
              <w:t>1</w:t>
            </w:r>
            <w:r>
              <w:rPr>
                <w:sz w:val="22"/>
                <w:szCs w:val="22"/>
                <w:lang w:val="en-US"/>
              </w:rPr>
              <w:t>5</w:t>
            </w:r>
          </w:p>
        </w:tc>
        <w:tc>
          <w:tcPr>
            <w:tcW w:w="1842" w:type="dxa"/>
            <w:tcBorders>
              <w:top w:val="single" w:sz="4" w:space="0" w:color="auto"/>
              <w:left w:val="single" w:sz="4" w:space="0" w:color="auto"/>
              <w:bottom w:val="single" w:sz="4" w:space="0" w:color="auto"/>
              <w:right w:val="single" w:sz="4" w:space="0" w:color="auto"/>
            </w:tcBorders>
          </w:tcPr>
          <w:p w14:paraId="48AEFB90" w14:textId="77777777" w:rsidR="00AF7381" w:rsidRPr="001C76A0" w:rsidRDefault="00AF7381" w:rsidP="000F6ABE">
            <w:pPr>
              <w:spacing w:before="0" w:after="0"/>
              <w:rPr>
                <w:sz w:val="22"/>
                <w:szCs w:val="22"/>
                <w:lang w:val="en-US"/>
              </w:rPr>
            </w:pPr>
            <w:r w:rsidRPr="001C76A0">
              <w:rPr>
                <w:sz w:val="22"/>
                <w:szCs w:val="22"/>
                <w:lang w:val="en-US"/>
              </w:rPr>
              <w:t>TT</w:t>
            </w:r>
          </w:p>
        </w:tc>
        <w:tc>
          <w:tcPr>
            <w:tcW w:w="6118" w:type="dxa"/>
            <w:tcBorders>
              <w:top w:val="single" w:sz="4" w:space="0" w:color="auto"/>
              <w:left w:val="single" w:sz="4" w:space="0" w:color="auto"/>
              <w:bottom w:val="single" w:sz="4" w:space="0" w:color="auto"/>
              <w:right w:val="single" w:sz="4" w:space="0" w:color="auto"/>
            </w:tcBorders>
          </w:tcPr>
          <w:p w14:paraId="7BF5A624" w14:textId="77777777" w:rsidR="00AF7381" w:rsidRPr="001C76A0" w:rsidRDefault="00AF7381" w:rsidP="000F6ABE">
            <w:pPr>
              <w:spacing w:before="0" w:after="0"/>
              <w:rPr>
                <w:sz w:val="22"/>
                <w:szCs w:val="22"/>
                <w:lang w:val="en-US"/>
              </w:rPr>
            </w:pPr>
            <w:r w:rsidRPr="001C76A0">
              <w:rPr>
                <w:sz w:val="22"/>
                <w:szCs w:val="22"/>
                <w:lang w:val="en-US"/>
              </w:rPr>
              <w:t>Equity Taiwan Stock Exchange Taiwan</w:t>
            </w:r>
          </w:p>
        </w:tc>
      </w:tr>
      <w:tr w:rsidR="00AF7381" w:rsidRPr="003E5C6C" w14:paraId="2D31134A" w14:textId="77777777" w:rsidTr="000F6ABE">
        <w:trPr>
          <w:trHeight w:val="227"/>
        </w:trPr>
        <w:tc>
          <w:tcPr>
            <w:tcW w:w="1668" w:type="dxa"/>
            <w:tcBorders>
              <w:top w:val="single" w:sz="4" w:space="0" w:color="auto"/>
              <w:left w:val="single" w:sz="4" w:space="0" w:color="auto"/>
              <w:bottom w:val="single" w:sz="4" w:space="0" w:color="auto"/>
              <w:right w:val="single" w:sz="4" w:space="0" w:color="auto"/>
            </w:tcBorders>
          </w:tcPr>
          <w:p w14:paraId="32CD5E87" w14:textId="77777777" w:rsidR="00AF7381" w:rsidRPr="001C76A0" w:rsidRDefault="00AF7381" w:rsidP="000F6ABE">
            <w:pPr>
              <w:spacing w:before="0" w:after="0"/>
              <w:rPr>
                <w:sz w:val="22"/>
                <w:szCs w:val="22"/>
                <w:lang w:val="en-US"/>
              </w:rPr>
            </w:pPr>
            <w:r w:rsidRPr="001C76A0">
              <w:rPr>
                <w:sz w:val="22"/>
                <w:szCs w:val="22"/>
                <w:lang w:val="en-US"/>
              </w:rPr>
              <w:t>1</w:t>
            </w:r>
            <w:r>
              <w:rPr>
                <w:sz w:val="22"/>
                <w:szCs w:val="22"/>
                <w:lang w:val="en-US"/>
              </w:rPr>
              <w:t>6</w:t>
            </w:r>
          </w:p>
        </w:tc>
        <w:tc>
          <w:tcPr>
            <w:tcW w:w="1842" w:type="dxa"/>
            <w:tcBorders>
              <w:top w:val="single" w:sz="4" w:space="0" w:color="auto"/>
              <w:left w:val="single" w:sz="4" w:space="0" w:color="auto"/>
              <w:bottom w:val="single" w:sz="4" w:space="0" w:color="auto"/>
              <w:right w:val="single" w:sz="4" w:space="0" w:color="auto"/>
            </w:tcBorders>
            <w:hideMark/>
          </w:tcPr>
          <w:p w14:paraId="0BB01D70" w14:textId="77777777" w:rsidR="00AF7381" w:rsidRPr="001C76A0" w:rsidRDefault="00AF7381" w:rsidP="000F6ABE">
            <w:pPr>
              <w:spacing w:before="0" w:after="0"/>
              <w:rPr>
                <w:sz w:val="22"/>
                <w:szCs w:val="22"/>
                <w:lang w:val="en-US"/>
              </w:rPr>
            </w:pPr>
            <w:r w:rsidRPr="001C76A0">
              <w:rPr>
                <w:sz w:val="22"/>
                <w:szCs w:val="22"/>
                <w:lang w:val="en-US"/>
              </w:rPr>
              <w:t>JT</w:t>
            </w:r>
          </w:p>
        </w:tc>
        <w:tc>
          <w:tcPr>
            <w:tcW w:w="6118" w:type="dxa"/>
            <w:tcBorders>
              <w:top w:val="single" w:sz="4" w:space="0" w:color="auto"/>
              <w:left w:val="single" w:sz="4" w:space="0" w:color="auto"/>
              <w:bottom w:val="single" w:sz="4" w:space="0" w:color="auto"/>
              <w:right w:val="single" w:sz="4" w:space="0" w:color="auto"/>
            </w:tcBorders>
            <w:hideMark/>
          </w:tcPr>
          <w:p w14:paraId="7E661498" w14:textId="77777777" w:rsidR="00AF7381" w:rsidRPr="001C76A0" w:rsidRDefault="00AF7381" w:rsidP="000F6ABE">
            <w:pPr>
              <w:spacing w:before="0" w:after="0"/>
              <w:rPr>
                <w:sz w:val="22"/>
                <w:szCs w:val="22"/>
                <w:lang w:val="en-US"/>
              </w:rPr>
            </w:pPr>
            <w:r w:rsidRPr="001C76A0">
              <w:rPr>
                <w:sz w:val="22"/>
                <w:szCs w:val="22"/>
                <w:lang w:val="en-US"/>
              </w:rPr>
              <w:t>Equity Tokyo Stock Exchange Japan</w:t>
            </w:r>
          </w:p>
        </w:tc>
      </w:tr>
      <w:tr w:rsidR="00AF7381" w:rsidRPr="003E5C6C" w14:paraId="3C6F6B9D" w14:textId="77777777" w:rsidTr="000F6ABE">
        <w:trPr>
          <w:trHeight w:val="227"/>
        </w:trPr>
        <w:tc>
          <w:tcPr>
            <w:tcW w:w="1668" w:type="dxa"/>
            <w:tcBorders>
              <w:top w:val="single" w:sz="4" w:space="0" w:color="auto"/>
              <w:left w:val="single" w:sz="4" w:space="0" w:color="auto"/>
              <w:bottom w:val="single" w:sz="4" w:space="0" w:color="auto"/>
              <w:right w:val="single" w:sz="4" w:space="0" w:color="auto"/>
            </w:tcBorders>
          </w:tcPr>
          <w:p w14:paraId="4EBDD254" w14:textId="77777777" w:rsidR="00AF7381" w:rsidRPr="001C76A0" w:rsidRDefault="00AF7381" w:rsidP="000F6ABE">
            <w:pPr>
              <w:spacing w:before="0" w:after="0"/>
              <w:rPr>
                <w:sz w:val="22"/>
                <w:szCs w:val="22"/>
                <w:lang w:val="en-US"/>
              </w:rPr>
            </w:pPr>
            <w:r w:rsidRPr="001C76A0">
              <w:rPr>
                <w:sz w:val="22"/>
                <w:szCs w:val="22"/>
                <w:lang w:val="en-US"/>
              </w:rPr>
              <w:t>1</w:t>
            </w:r>
            <w:r>
              <w:rPr>
                <w:sz w:val="22"/>
                <w:szCs w:val="22"/>
                <w:lang w:val="en-US"/>
              </w:rPr>
              <w:t>7</w:t>
            </w:r>
          </w:p>
        </w:tc>
        <w:tc>
          <w:tcPr>
            <w:tcW w:w="1842" w:type="dxa"/>
            <w:tcBorders>
              <w:top w:val="single" w:sz="4" w:space="0" w:color="auto"/>
              <w:left w:val="single" w:sz="4" w:space="0" w:color="auto"/>
              <w:bottom w:val="single" w:sz="4" w:space="0" w:color="auto"/>
              <w:right w:val="single" w:sz="4" w:space="0" w:color="auto"/>
            </w:tcBorders>
            <w:hideMark/>
          </w:tcPr>
          <w:p w14:paraId="633AAF30" w14:textId="77777777" w:rsidR="00AF7381" w:rsidRPr="001C76A0" w:rsidRDefault="00AF7381" w:rsidP="000F6ABE">
            <w:pPr>
              <w:spacing w:before="0" w:after="0"/>
              <w:rPr>
                <w:sz w:val="22"/>
                <w:szCs w:val="22"/>
                <w:lang w:val="en-US"/>
              </w:rPr>
            </w:pPr>
            <w:r>
              <w:rPr>
                <w:sz w:val="22"/>
                <w:szCs w:val="22"/>
                <w:lang w:val="en-US"/>
              </w:rPr>
              <w:t>CT</w:t>
            </w:r>
          </w:p>
        </w:tc>
        <w:tc>
          <w:tcPr>
            <w:tcW w:w="6118" w:type="dxa"/>
            <w:tcBorders>
              <w:top w:val="single" w:sz="4" w:space="0" w:color="auto"/>
              <w:left w:val="single" w:sz="4" w:space="0" w:color="auto"/>
              <w:bottom w:val="single" w:sz="4" w:space="0" w:color="auto"/>
              <w:right w:val="single" w:sz="4" w:space="0" w:color="auto"/>
            </w:tcBorders>
            <w:hideMark/>
          </w:tcPr>
          <w:p w14:paraId="5D5FBA00" w14:textId="77777777" w:rsidR="00AF7381" w:rsidRPr="001C76A0" w:rsidRDefault="00AF7381" w:rsidP="000F6ABE">
            <w:pPr>
              <w:spacing w:before="0" w:after="0"/>
              <w:rPr>
                <w:sz w:val="22"/>
                <w:szCs w:val="22"/>
                <w:lang w:val="en-US"/>
              </w:rPr>
            </w:pPr>
            <w:r w:rsidRPr="001C76A0">
              <w:rPr>
                <w:sz w:val="22"/>
                <w:szCs w:val="22"/>
                <w:lang w:val="en-US"/>
              </w:rPr>
              <w:t>Equity Toronto Stock Exchange Canada</w:t>
            </w:r>
          </w:p>
        </w:tc>
      </w:tr>
      <w:tr w:rsidR="00AF7381" w:rsidRPr="001C76A0" w14:paraId="462C541E" w14:textId="77777777" w:rsidTr="000F6ABE">
        <w:trPr>
          <w:trHeight w:val="227"/>
        </w:trPr>
        <w:tc>
          <w:tcPr>
            <w:tcW w:w="1668" w:type="dxa"/>
            <w:tcBorders>
              <w:top w:val="single" w:sz="4" w:space="0" w:color="auto"/>
              <w:left w:val="single" w:sz="4" w:space="0" w:color="auto"/>
              <w:bottom w:val="single" w:sz="4" w:space="0" w:color="auto"/>
              <w:right w:val="single" w:sz="4" w:space="0" w:color="auto"/>
            </w:tcBorders>
          </w:tcPr>
          <w:p w14:paraId="1980492B" w14:textId="77777777" w:rsidR="00AF7381" w:rsidRPr="001C76A0" w:rsidRDefault="00AF7381" w:rsidP="000F6ABE">
            <w:pPr>
              <w:spacing w:before="0" w:after="0"/>
              <w:rPr>
                <w:sz w:val="22"/>
                <w:szCs w:val="22"/>
                <w:lang w:val="en-US"/>
              </w:rPr>
            </w:pPr>
            <w:r w:rsidRPr="001C76A0">
              <w:rPr>
                <w:sz w:val="22"/>
                <w:szCs w:val="22"/>
                <w:lang w:val="en-US"/>
              </w:rPr>
              <w:t>1</w:t>
            </w:r>
            <w:r>
              <w:rPr>
                <w:sz w:val="22"/>
                <w:szCs w:val="22"/>
                <w:lang w:val="en-US"/>
              </w:rPr>
              <w:t>8</w:t>
            </w:r>
          </w:p>
        </w:tc>
        <w:tc>
          <w:tcPr>
            <w:tcW w:w="1842" w:type="dxa"/>
            <w:tcBorders>
              <w:top w:val="single" w:sz="4" w:space="0" w:color="auto"/>
              <w:left w:val="single" w:sz="4" w:space="0" w:color="auto"/>
              <w:bottom w:val="single" w:sz="4" w:space="0" w:color="auto"/>
              <w:right w:val="single" w:sz="4" w:space="0" w:color="auto"/>
            </w:tcBorders>
            <w:hideMark/>
          </w:tcPr>
          <w:p w14:paraId="6983B602" w14:textId="77777777" w:rsidR="00AF7381" w:rsidRPr="001C76A0" w:rsidRDefault="00AF7381" w:rsidP="000F6ABE">
            <w:pPr>
              <w:spacing w:before="0" w:after="0"/>
              <w:rPr>
                <w:sz w:val="22"/>
                <w:szCs w:val="22"/>
                <w:lang w:val="en-US"/>
              </w:rPr>
            </w:pPr>
            <w:r w:rsidRPr="001C76A0">
              <w:rPr>
                <w:sz w:val="22"/>
                <w:szCs w:val="22"/>
                <w:lang w:val="en-US"/>
              </w:rPr>
              <w:t>GY</w:t>
            </w:r>
          </w:p>
        </w:tc>
        <w:tc>
          <w:tcPr>
            <w:tcW w:w="6118" w:type="dxa"/>
            <w:tcBorders>
              <w:top w:val="single" w:sz="4" w:space="0" w:color="auto"/>
              <w:left w:val="single" w:sz="4" w:space="0" w:color="auto"/>
              <w:bottom w:val="single" w:sz="4" w:space="0" w:color="auto"/>
              <w:right w:val="single" w:sz="4" w:space="0" w:color="auto"/>
            </w:tcBorders>
            <w:hideMark/>
          </w:tcPr>
          <w:p w14:paraId="7CEA5E30" w14:textId="77777777" w:rsidR="00AF7381" w:rsidRPr="001C76A0" w:rsidRDefault="00AF7381" w:rsidP="000F6ABE">
            <w:pPr>
              <w:spacing w:before="0" w:after="0"/>
              <w:rPr>
                <w:sz w:val="22"/>
                <w:szCs w:val="22"/>
                <w:lang w:val="en-US"/>
              </w:rPr>
            </w:pPr>
            <w:r w:rsidRPr="001C76A0">
              <w:rPr>
                <w:sz w:val="22"/>
                <w:szCs w:val="22"/>
                <w:lang w:val="en-US"/>
              </w:rPr>
              <w:t xml:space="preserve">Equity </w:t>
            </w:r>
            <w:proofErr w:type="spellStart"/>
            <w:r w:rsidRPr="001C76A0">
              <w:rPr>
                <w:sz w:val="22"/>
                <w:szCs w:val="22"/>
                <w:lang w:val="en-US"/>
              </w:rPr>
              <w:t>Xetra</w:t>
            </w:r>
            <w:proofErr w:type="spellEnd"/>
            <w:r w:rsidRPr="001C76A0">
              <w:rPr>
                <w:sz w:val="22"/>
                <w:szCs w:val="22"/>
                <w:lang w:val="en-US"/>
              </w:rPr>
              <w:t xml:space="preserve"> Germany</w:t>
            </w:r>
          </w:p>
        </w:tc>
      </w:tr>
      <w:tr w:rsidR="00AF7381" w:rsidRPr="001C76A0" w14:paraId="30C34D3F" w14:textId="77777777" w:rsidTr="000F6ABE">
        <w:trPr>
          <w:trHeight w:val="227"/>
        </w:trPr>
        <w:tc>
          <w:tcPr>
            <w:tcW w:w="1668" w:type="dxa"/>
            <w:tcBorders>
              <w:top w:val="single" w:sz="4" w:space="0" w:color="auto"/>
              <w:left w:val="single" w:sz="4" w:space="0" w:color="auto"/>
              <w:bottom w:val="single" w:sz="4" w:space="0" w:color="auto"/>
              <w:right w:val="single" w:sz="4" w:space="0" w:color="auto"/>
            </w:tcBorders>
          </w:tcPr>
          <w:p w14:paraId="2DA3E654" w14:textId="77777777" w:rsidR="00AF7381" w:rsidRPr="001C76A0" w:rsidRDefault="00AF7381" w:rsidP="000F6ABE">
            <w:pPr>
              <w:spacing w:before="0" w:after="0"/>
              <w:rPr>
                <w:sz w:val="22"/>
                <w:szCs w:val="22"/>
                <w:lang w:val="en-US"/>
              </w:rPr>
            </w:pPr>
            <w:r>
              <w:rPr>
                <w:sz w:val="22"/>
                <w:szCs w:val="22"/>
                <w:lang w:val="en-US"/>
              </w:rPr>
              <w:t>19</w:t>
            </w:r>
          </w:p>
        </w:tc>
        <w:tc>
          <w:tcPr>
            <w:tcW w:w="1842" w:type="dxa"/>
            <w:tcBorders>
              <w:top w:val="single" w:sz="4" w:space="0" w:color="auto"/>
              <w:left w:val="single" w:sz="4" w:space="0" w:color="auto"/>
              <w:bottom w:val="single" w:sz="4" w:space="0" w:color="auto"/>
              <w:right w:val="single" w:sz="4" w:space="0" w:color="auto"/>
            </w:tcBorders>
            <w:hideMark/>
          </w:tcPr>
          <w:p w14:paraId="03C7FFC8" w14:textId="77777777" w:rsidR="00AF7381" w:rsidRPr="001C76A0" w:rsidRDefault="00AF7381" w:rsidP="000F6ABE">
            <w:pPr>
              <w:spacing w:before="0" w:after="0"/>
              <w:rPr>
                <w:sz w:val="22"/>
                <w:szCs w:val="22"/>
                <w:lang w:val="en-US"/>
              </w:rPr>
            </w:pPr>
            <w:r w:rsidRPr="001C76A0">
              <w:rPr>
                <w:sz w:val="22"/>
                <w:szCs w:val="22"/>
                <w:lang w:val="en-US"/>
              </w:rPr>
              <w:t>LI</w:t>
            </w:r>
          </w:p>
        </w:tc>
        <w:tc>
          <w:tcPr>
            <w:tcW w:w="6118" w:type="dxa"/>
            <w:tcBorders>
              <w:top w:val="single" w:sz="4" w:space="0" w:color="auto"/>
              <w:left w:val="single" w:sz="4" w:space="0" w:color="auto"/>
              <w:bottom w:val="single" w:sz="4" w:space="0" w:color="auto"/>
              <w:right w:val="single" w:sz="4" w:space="0" w:color="auto"/>
            </w:tcBorders>
            <w:hideMark/>
          </w:tcPr>
          <w:p w14:paraId="2AAC5846" w14:textId="77777777" w:rsidR="00AF7381" w:rsidRPr="001C76A0" w:rsidRDefault="00AF7381" w:rsidP="000F6ABE">
            <w:pPr>
              <w:spacing w:before="0" w:after="0"/>
              <w:rPr>
                <w:sz w:val="22"/>
                <w:szCs w:val="22"/>
                <w:lang w:val="en-US"/>
              </w:rPr>
            </w:pPr>
            <w:r w:rsidRPr="001C76A0">
              <w:rPr>
                <w:sz w:val="22"/>
                <w:szCs w:val="22"/>
                <w:lang w:val="en-US"/>
              </w:rPr>
              <w:t>Equity London International Exchange</w:t>
            </w:r>
          </w:p>
        </w:tc>
      </w:tr>
      <w:tr w:rsidR="00AF7381" w:rsidRPr="003E5C6C" w14:paraId="54D61211" w14:textId="77777777" w:rsidTr="000F6ABE">
        <w:trPr>
          <w:trHeight w:val="227"/>
        </w:trPr>
        <w:tc>
          <w:tcPr>
            <w:tcW w:w="1668" w:type="dxa"/>
            <w:tcBorders>
              <w:top w:val="single" w:sz="4" w:space="0" w:color="auto"/>
              <w:left w:val="single" w:sz="4" w:space="0" w:color="auto"/>
              <w:bottom w:val="single" w:sz="4" w:space="0" w:color="auto"/>
              <w:right w:val="single" w:sz="4" w:space="0" w:color="auto"/>
            </w:tcBorders>
          </w:tcPr>
          <w:p w14:paraId="4F773F3B" w14:textId="77777777" w:rsidR="00AF7381" w:rsidRPr="001C76A0" w:rsidRDefault="00AF7381" w:rsidP="000F6ABE">
            <w:pPr>
              <w:spacing w:before="0" w:after="0"/>
              <w:rPr>
                <w:sz w:val="22"/>
                <w:szCs w:val="22"/>
                <w:lang w:val="en-US"/>
              </w:rPr>
            </w:pPr>
            <w:r w:rsidRPr="001C76A0">
              <w:rPr>
                <w:sz w:val="22"/>
                <w:szCs w:val="22"/>
                <w:lang w:val="en-US"/>
              </w:rPr>
              <w:t>2</w:t>
            </w:r>
            <w:r>
              <w:rPr>
                <w:sz w:val="22"/>
                <w:szCs w:val="22"/>
                <w:lang w:val="en-US"/>
              </w:rPr>
              <w:t>0</w:t>
            </w:r>
          </w:p>
        </w:tc>
        <w:tc>
          <w:tcPr>
            <w:tcW w:w="1842" w:type="dxa"/>
            <w:tcBorders>
              <w:top w:val="single" w:sz="4" w:space="0" w:color="auto"/>
              <w:left w:val="single" w:sz="4" w:space="0" w:color="auto"/>
              <w:bottom w:val="single" w:sz="4" w:space="0" w:color="auto"/>
              <w:right w:val="single" w:sz="4" w:space="0" w:color="auto"/>
            </w:tcBorders>
            <w:hideMark/>
          </w:tcPr>
          <w:p w14:paraId="2CC19001" w14:textId="77777777" w:rsidR="00AF7381" w:rsidRPr="001C76A0" w:rsidRDefault="00AF7381" w:rsidP="000F6ABE">
            <w:pPr>
              <w:spacing w:before="0" w:after="0"/>
              <w:rPr>
                <w:sz w:val="22"/>
                <w:szCs w:val="22"/>
                <w:lang w:val="en-US"/>
              </w:rPr>
            </w:pPr>
            <w:r w:rsidRPr="001C76A0">
              <w:rPr>
                <w:sz w:val="22"/>
                <w:szCs w:val="22"/>
                <w:lang w:val="en-US"/>
              </w:rPr>
              <w:t>AT</w:t>
            </w:r>
          </w:p>
        </w:tc>
        <w:tc>
          <w:tcPr>
            <w:tcW w:w="6118" w:type="dxa"/>
            <w:tcBorders>
              <w:top w:val="single" w:sz="4" w:space="0" w:color="auto"/>
              <w:left w:val="single" w:sz="4" w:space="0" w:color="auto"/>
              <w:bottom w:val="single" w:sz="4" w:space="0" w:color="auto"/>
              <w:right w:val="single" w:sz="4" w:space="0" w:color="auto"/>
            </w:tcBorders>
            <w:hideMark/>
          </w:tcPr>
          <w:p w14:paraId="18BE3A7A" w14:textId="77777777" w:rsidR="00AF7381" w:rsidRPr="001C76A0" w:rsidRDefault="00AF7381" w:rsidP="000F6ABE">
            <w:pPr>
              <w:spacing w:before="0" w:after="0"/>
              <w:rPr>
                <w:sz w:val="22"/>
                <w:szCs w:val="22"/>
                <w:lang w:val="en-US"/>
              </w:rPr>
            </w:pPr>
            <w:r w:rsidRPr="001C76A0">
              <w:rPr>
                <w:sz w:val="22"/>
                <w:szCs w:val="22"/>
                <w:lang w:val="en-US"/>
              </w:rPr>
              <w:t>Equity Australian Securities Exchange Australia</w:t>
            </w:r>
          </w:p>
        </w:tc>
      </w:tr>
      <w:tr w:rsidR="00AF7381" w:rsidRPr="003E5C6C" w14:paraId="3BF29A47" w14:textId="77777777" w:rsidTr="000F6ABE">
        <w:trPr>
          <w:trHeight w:val="227"/>
        </w:trPr>
        <w:tc>
          <w:tcPr>
            <w:tcW w:w="1668" w:type="dxa"/>
            <w:tcBorders>
              <w:top w:val="single" w:sz="4" w:space="0" w:color="auto"/>
              <w:left w:val="single" w:sz="4" w:space="0" w:color="auto"/>
              <w:bottom w:val="single" w:sz="4" w:space="0" w:color="auto"/>
              <w:right w:val="single" w:sz="4" w:space="0" w:color="auto"/>
            </w:tcBorders>
          </w:tcPr>
          <w:p w14:paraId="337FF569" w14:textId="77777777" w:rsidR="00AF7381" w:rsidRPr="001C76A0" w:rsidRDefault="00AF7381" w:rsidP="000F6ABE">
            <w:pPr>
              <w:spacing w:before="0" w:after="0"/>
              <w:rPr>
                <w:sz w:val="22"/>
                <w:szCs w:val="22"/>
                <w:lang w:val="en-US"/>
              </w:rPr>
            </w:pPr>
            <w:r w:rsidRPr="001C76A0">
              <w:rPr>
                <w:sz w:val="22"/>
                <w:szCs w:val="22"/>
                <w:lang w:val="en-US"/>
              </w:rPr>
              <w:t>2</w:t>
            </w:r>
            <w:r>
              <w:rPr>
                <w:sz w:val="22"/>
                <w:szCs w:val="22"/>
                <w:lang w:val="en-US"/>
              </w:rPr>
              <w:t>1</w:t>
            </w:r>
          </w:p>
        </w:tc>
        <w:tc>
          <w:tcPr>
            <w:tcW w:w="1842" w:type="dxa"/>
            <w:tcBorders>
              <w:top w:val="single" w:sz="4" w:space="0" w:color="auto"/>
              <w:left w:val="single" w:sz="4" w:space="0" w:color="auto"/>
              <w:bottom w:val="single" w:sz="4" w:space="0" w:color="auto"/>
              <w:right w:val="single" w:sz="4" w:space="0" w:color="auto"/>
            </w:tcBorders>
            <w:hideMark/>
          </w:tcPr>
          <w:p w14:paraId="4EF691D0" w14:textId="77777777" w:rsidR="00AF7381" w:rsidRPr="001C76A0" w:rsidRDefault="00AF7381" w:rsidP="000F6ABE">
            <w:pPr>
              <w:spacing w:before="0" w:after="0"/>
              <w:rPr>
                <w:sz w:val="22"/>
                <w:szCs w:val="22"/>
                <w:lang w:val="en-US"/>
              </w:rPr>
            </w:pPr>
            <w:r w:rsidRPr="001C76A0">
              <w:rPr>
                <w:sz w:val="22"/>
                <w:szCs w:val="22"/>
                <w:lang w:val="en-US"/>
              </w:rPr>
              <w:t>AV</w:t>
            </w:r>
          </w:p>
        </w:tc>
        <w:tc>
          <w:tcPr>
            <w:tcW w:w="6118" w:type="dxa"/>
            <w:tcBorders>
              <w:top w:val="single" w:sz="4" w:space="0" w:color="auto"/>
              <w:left w:val="single" w:sz="4" w:space="0" w:color="auto"/>
              <w:bottom w:val="single" w:sz="4" w:space="0" w:color="auto"/>
              <w:right w:val="single" w:sz="4" w:space="0" w:color="auto"/>
            </w:tcBorders>
            <w:hideMark/>
          </w:tcPr>
          <w:p w14:paraId="6444BC24" w14:textId="77777777" w:rsidR="00AF7381" w:rsidRPr="001C76A0" w:rsidRDefault="00AF7381" w:rsidP="000F6ABE">
            <w:pPr>
              <w:spacing w:before="0" w:after="0"/>
              <w:rPr>
                <w:sz w:val="22"/>
                <w:szCs w:val="22"/>
                <w:lang w:val="en-US"/>
              </w:rPr>
            </w:pPr>
            <w:r w:rsidRPr="001C76A0">
              <w:rPr>
                <w:sz w:val="22"/>
                <w:szCs w:val="22"/>
                <w:lang w:val="en-US"/>
              </w:rPr>
              <w:t>Equity Vienna Stock Exchange Austria</w:t>
            </w:r>
          </w:p>
        </w:tc>
      </w:tr>
      <w:tr w:rsidR="00AF7381" w:rsidRPr="001C76A0" w14:paraId="50E8BC33" w14:textId="77777777" w:rsidTr="000F6ABE">
        <w:trPr>
          <w:trHeight w:val="227"/>
        </w:trPr>
        <w:tc>
          <w:tcPr>
            <w:tcW w:w="1668" w:type="dxa"/>
            <w:tcBorders>
              <w:top w:val="single" w:sz="4" w:space="0" w:color="auto"/>
              <w:left w:val="single" w:sz="4" w:space="0" w:color="auto"/>
              <w:bottom w:val="single" w:sz="4" w:space="0" w:color="auto"/>
              <w:right w:val="single" w:sz="4" w:space="0" w:color="auto"/>
            </w:tcBorders>
          </w:tcPr>
          <w:p w14:paraId="65157087" w14:textId="77777777" w:rsidR="00AF7381" w:rsidRPr="001C76A0" w:rsidRDefault="00AF7381" w:rsidP="000F6ABE">
            <w:pPr>
              <w:spacing w:before="0" w:after="0"/>
              <w:rPr>
                <w:sz w:val="22"/>
                <w:szCs w:val="22"/>
                <w:lang w:val="en-US"/>
              </w:rPr>
            </w:pPr>
            <w:r w:rsidRPr="001C76A0">
              <w:rPr>
                <w:sz w:val="22"/>
                <w:szCs w:val="22"/>
                <w:lang w:val="en-US"/>
              </w:rPr>
              <w:t>2</w:t>
            </w:r>
            <w:r>
              <w:rPr>
                <w:sz w:val="22"/>
                <w:szCs w:val="22"/>
                <w:lang w:val="en-US"/>
              </w:rPr>
              <w:t>2</w:t>
            </w:r>
          </w:p>
        </w:tc>
        <w:tc>
          <w:tcPr>
            <w:tcW w:w="1842" w:type="dxa"/>
            <w:tcBorders>
              <w:top w:val="single" w:sz="4" w:space="0" w:color="auto"/>
              <w:left w:val="single" w:sz="4" w:space="0" w:color="auto"/>
              <w:bottom w:val="single" w:sz="4" w:space="0" w:color="auto"/>
              <w:right w:val="single" w:sz="4" w:space="0" w:color="auto"/>
            </w:tcBorders>
            <w:hideMark/>
          </w:tcPr>
          <w:p w14:paraId="028AE9FA" w14:textId="77777777" w:rsidR="00AF7381" w:rsidRPr="001C76A0" w:rsidRDefault="00AF7381" w:rsidP="000F6ABE">
            <w:pPr>
              <w:spacing w:before="0" w:after="0"/>
              <w:rPr>
                <w:sz w:val="22"/>
                <w:szCs w:val="22"/>
                <w:lang w:val="en-US"/>
              </w:rPr>
            </w:pPr>
            <w:r w:rsidRPr="001C76A0">
              <w:rPr>
                <w:sz w:val="22"/>
                <w:szCs w:val="22"/>
                <w:lang w:val="en-US"/>
              </w:rPr>
              <w:t>NZ</w:t>
            </w:r>
          </w:p>
        </w:tc>
        <w:tc>
          <w:tcPr>
            <w:tcW w:w="6118" w:type="dxa"/>
            <w:tcBorders>
              <w:top w:val="single" w:sz="4" w:space="0" w:color="auto"/>
              <w:left w:val="single" w:sz="4" w:space="0" w:color="auto"/>
              <w:bottom w:val="single" w:sz="4" w:space="0" w:color="auto"/>
              <w:right w:val="single" w:sz="4" w:space="0" w:color="auto"/>
            </w:tcBorders>
            <w:hideMark/>
          </w:tcPr>
          <w:p w14:paraId="263EC3C2" w14:textId="77777777" w:rsidR="00AF7381" w:rsidRPr="001C76A0" w:rsidRDefault="00AF7381" w:rsidP="000F6ABE">
            <w:pPr>
              <w:spacing w:before="0" w:after="0"/>
              <w:rPr>
                <w:sz w:val="22"/>
                <w:szCs w:val="22"/>
                <w:lang w:val="en-US"/>
              </w:rPr>
            </w:pPr>
            <w:r w:rsidRPr="001C76A0">
              <w:rPr>
                <w:sz w:val="22"/>
                <w:szCs w:val="22"/>
                <w:lang w:val="en-US"/>
              </w:rPr>
              <w:t>Equity New Zealand Exchange</w:t>
            </w:r>
          </w:p>
        </w:tc>
      </w:tr>
      <w:tr w:rsidR="00AF7381" w:rsidRPr="003E5C6C" w14:paraId="7E659D05" w14:textId="77777777" w:rsidTr="000F6ABE">
        <w:trPr>
          <w:trHeight w:val="227"/>
        </w:trPr>
        <w:tc>
          <w:tcPr>
            <w:tcW w:w="1668" w:type="dxa"/>
            <w:tcBorders>
              <w:top w:val="single" w:sz="4" w:space="0" w:color="auto"/>
              <w:left w:val="single" w:sz="4" w:space="0" w:color="auto"/>
              <w:bottom w:val="single" w:sz="4" w:space="0" w:color="auto"/>
              <w:right w:val="single" w:sz="4" w:space="0" w:color="auto"/>
            </w:tcBorders>
          </w:tcPr>
          <w:p w14:paraId="0B88CF64" w14:textId="77777777" w:rsidR="00AF7381" w:rsidRPr="001C76A0" w:rsidRDefault="00AF7381" w:rsidP="000F6ABE">
            <w:pPr>
              <w:spacing w:before="0" w:after="0"/>
              <w:rPr>
                <w:sz w:val="22"/>
                <w:szCs w:val="22"/>
                <w:lang w:val="en-US"/>
              </w:rPr>
            </w:pPr>
            <w:r>
              <w:rPr>
                <w:sz w:val="22"/>
                <w:szCs w:val="22"/>
                <w:lang w:val="en-US"/>
              </w:rPr>
              <w:t>23</w:t>
            </w:r>
          </w:p>
        </w:tc>
        <w:tc>
          <w:tcPr>
            <w:tcW w:w="1842" w:type="dxa"/>
            <w:tcBorders>
              <w:top w:val="single" w:sz="4" w:space="0" w:color="auto"/>
              <w:left w:val="single" w:sz="4" w:space="0" w:color="auto"/>
              <w:bottom w:val="single" w:sz="4" w:space="0" w:color="auto"/>
              <w:right w:val="single" w:sz="4" w:space="0" w:color="auto"/>
            </w:tcBorders>
            <w:hideMark/>
          </w:tcPr>
          <w:p w14:paraId="1A88E128" w14:textId="77777777" w:rsidR="00AF7381" w:rsidRPr="001C76A0" w:rsidRDefault="00AF7381" w:rsidP="000F6ABE">
            <w:pPr>
              <w:spacing w:before="0" w:after="0"/>
              <w:rPr>
                <w:sz w:val="22"/>
                <w:szCs w:val="22"/>
                <w:lang w:val="en-US"/>
              </w:rPr>
            </w:pPr>
            <w:r w:rsidRPr="001C76A0">
              <w:rPr>
                <w:sz w:val="22"/>
                <w:szCs w:val="22"/>
                <w:lang w:val="en-US"/>
              </w:rPr>
              <w:t>ID</w:t>
            </w:r>
          </w:p>
        </w:tc>
        <w:tc>
          <w:tcPr>
            <w:tcW w:w="6118" w:type="dxa"/>
            <w:tcBorders>
              <w:top w:val="single" w:sz="4" w:space="0" w:color="auto"/>
              <w:left w:val="single" w:sz="4" w:space="0" w:color="auto"/>
              <w:bottom w:val="single" w:sz="4" w:space="0" w:color="auto"/>
              <w:right w:val="single" w:sz="4" w:space="0" w:color="auto"/>
            </w:tcBorders>
            <w:hideMark/>
          </w:tcPr>
          <w:p w14:paraId="10328D5B" w14:textId="77777777" w:rsidR="00AF7381" w:rsidRPr="001C76A0" w:rsidRDefault="00AF7381" w:rsidP="000F6ABE">
            <w:pPr>
              <w:spacing w:before="0" w:after="0"/>
              <w:rPr>
                <w:sz w:val="22"/>
                <w:szCs w:val="22"/>
                <w:lang w:val="en-US"/>
              </w:rPr>
            </w:pPr>
            <w:r w:rsidRPr="001C76A0">
              <w:rPr>
                <w:sz w:val="22"/>
                <w:szCs w:val="22"/>
                <w:lang w:val="en-US"/>
              </w:rPr>
              <w:t>Equity Irish Stock Exchange Ireland</w:t>
            </w:r>
          </w:p>
        </w:tc>
      </w:tr>
      <w:tr w:rsidR="00AF7381" w:rsidRPr="003E5C6C" w14:paraId="4142DEBF" w14:textId="77777777" w:rsidTr="000F6ABE">
        <w:trPr>
          <w:trHeight w:val="227"/>
        </w:trPr>
        <w:tc>
          <w:tcPr>
            <w:tcW w:w="1668" w:type="dxa"/>
            <w:tcBorders>
              <w:top w:val="single" w:sz="4" w:space="0" w:color="auto"/>
              <w:left w:val="single" w:sz="4" w:space="0" w:color="auto"/>
              <w:bottom w:val="single" w:sz="4" w:space="0" w:color="auto"/>
              <w:right w:val="single" w:sz="4" w:space="0" w:color="auto"/>
            </w:tcBorders>
          </w:tcPr>
          <w:p w14:paraId="1B45B52A" w14:textId="77777777" w:rsidR="00AF7381" w:rsidRPr="001C76A0" w:rsidRDefault="00AF7381" w:rsidP="000F6ABE">
            <w:pPr>
              <w:spacing w:before="0" w:after="0"/>
              <w:rPr>
                <w:sz w:val="22"/>
                <w:szCs w:val="22"/>
                <w:lang w:val="en-US"/>
              </w:rPr>
            </w:pPr>
            <w:r w:rsidRPr="001C76A0">
              <w:rPr>
                <w:sz w:val="22"/>
                <w:szCs w:val="22"/>
                <w:lang w:val="en-US"/>
              </w:rPr>
              <w:t>2</w:t>
            </w:r>
            <w:r>
              <w:rPr>
                <w:sz w:val="22"/>
                <w:szCs w:val="22"/>
                <w:lang w:val="en-US"/>
              </w:rPr>
              <w:t>4</w:t>
            </w:r>
          </w:p>
        </w:tc>
        <w:tc>
          <w:tcPr>
            <w:tcW w:w="1842" w:type="dxa"/>
            <w:tcBorders>
              <w:top w:val="single" w:sz="4" w:space="0" w:color="auto"/>
              <w:left w:val="single" w:sz="4" w:space="0" w:color="auto"/>
              <w:bottom w:val="single" w:sz="4" w:space="0" w:color="auto"/>
              <w:right w:val="single" w:sz="4" w:space="0" w:color="auto"/>
            </w:tcBorders>
            <w:hideMark/>
          </w:tcPr>
          <w:p w14:paraId="5C43D8E8" w14:textId="77777777" w:rsidR="00AF7381" w:rsidRPr="001C76A0" w:rsidRDefault="00AF7381" w:rsidP="000F6ABE">
            <w:pPr>
              <w:spacing w:before="0" w:after="0"/>
              <w:rPr>
                <w:sz w:val="22"/>
                <w:szCs w:val="22"/>
                <w:lang w:val="en-US"/>
              </w:rPr>
            </w:pPr>
            <w:r w:rsidRPr="001C76A0">
              <w:rPr>
                <w:sz w:val="22"/>
                <w:szCs w:val="22"/>
                <w:lang w:val="en-US"/>
              </w:rPr>
              <w:t>DC</w:t>
            </w:r>
          </w:p>
        </w:tc>
        <w:tc>
          <w:tcPr>
            <w:tcW w:w="6118" w:type="dxa"/>
            <w:tcBorders>
              <w:top w:val="single" w:sz="4" w:space="0" w:color="auto"/>
              <w:left w:val="single" w:sz="4" w:space="0" w:color="auto"/>
              <w:bottom w:val="single" w:sz="4" w:space="0" w:color="auto"/>
              <w:right w:val="single" w:sz="4" w:space="0" w:color="auto"/>
            </w:tcBorders>
            <w:hideMark/>
          </w:tcPr>
          <w:p w14:paraId="31E53584" w14:textId="77777777" w:rsidR="00AF7381" w:rsidRPr="001C76A0" w:rsidRDefault="00AF7381" w:rsidP="000F6ABE">
            <w:pPr>
              <w:spacing w:before="0" w:after="0"/>
              <w:rPr>
                <w:sz w:val="22"/>
                <w:szCs w:val="22"/>
                <w:lang w:val="en-US"/>
              </w:rPr>
            </w:pPr>
            <w:r w:rsidRPr="001C76A0">
              <w:rPr>
                <w:sz w:val="22"/>
                <w:szCs w:val="22"/>
                <w:lang w:val="en-US"/>
              </w:rPr>
              <w:t>Equity NASDAQ OMX Copenhagen Denmark</w:t>
            </w:r>
          </w:p>
        </w:tc>
      </w:tr>
      <w:tr w:rsidR="00AF7381" w:rsidRPr="003E5C6C" w14:paraId="3221B581" w14:textId="77777777" w:rsidTr="000F6ABE">
        <w:trPr>
          <w:trHeight w:val="227"/>
        </w:trPr>
        <w:tc>
          <w:tcPr>
            <w:tcW w:w="1668" w:type="dxa"/>
            <w:tcBorders>
              <w:top w:val="single" w:sz="4" w:space="0" w:color="auto"/>
              <w:left w:val="single" w:sz="4" w:space="0" w:color="auto"/>
              <w:bottom w:val="single" w:sz="4" w:space="0" w:color="auto"/>
              <w:right w:val="single" w:sz="4" w:space="0" w:color="auto"/>
            </w:tcBorders>
          </w:tcPr>
          <w:p w14:paraId="3D681E67" w14:textId="77777777" w:rsidR="00AF7381" w:rsidRPr="001C76A0" w:rsidRDefault="00AF7381" w:rsidP="000F6ABE">
            <w:pPr>
              <w:spacing w:before="0" w:after="0"/>
              <w:rPr>
                <w:sz w:val="22"/>
                <w:szCs w:val="22"/>
                <w:lang w:val="en-US"/>
              </w:rPr>
            </w:pPr>
            <w:r w:rsidRPr="001C76A0">
              <w:rPr>
                <w:sz w:val="22"/>
                <w:szCs w:val="22"/>
                <w:lang w:val="en-US"/>
              </w:rPr>
              <w:t>2</w:t>
            </w:r>
            <w:r>
              <w:rPr>
                <w:sz w:val="22"/>
                <w:szCs w:val="22"/>
                <w:lang w:val="en-US"/>
              </w:rPr>
              <w:t>5</w:t>
            </w:r>
          </w:p>
        </w:tc>
        <w:tc>
          <w:tcPr>
            <w:tcW w:w="1842" w:type="dxa"/>
            <w:tcBorders>
              <w:top w:val="single" w:sz="4" w:space="0" w:color="auto"/>
              <w:left w:val="single" w:sz="4" w:space="0" w:color="auto"/>
              <w:bottom w:val="single" w:sz="4" w:space="0" w:color="auto"/>
              <w:right w:val="single" w:sz="4" w:space="0" w:color="auto"/>
            </w:tcBorders>
          </w:tcPr>
          <w:p w14:paraId="5E63272A" w14:textId="77777777" w:rsidR="00AF7381" w:rsidRPr="001C76A0" w:rsidRDefault="00AF7381" w:rsidP="000F6ABE">
            <w:pPr>
              <w:spacing w:before="0" w:after="0"/>
              <w:rPr>
                <w:sz w:val="22"/>
                <w:szCs w:val="22"/>
                <w:lang w:val="en-US"/>
              </w:rPr>
            </w:pPr>
            <w:r>
              <w:rPr>
                <w:sz w:val="22"/>
                <w:szCs w:val="22"/>
                <w:lang w:val="en-US"/>
              </w:rPr>
              <w:t>SM</w:t>
            </w:r>
          </w:p>
        </w:tc>
        <w:tc>
          <w:tcPr>
            <w:tcW w:w="6118" w:type="dxa"/>
            <w:tcBorders>
              <w:top w:val="single" w:sz="4" w:space="0" w:color="auto"/>
              <w:left w:val="single" w:sz="4" w:space="0" w:color="auto"/>
              <w:bottom w:val="single" w:sz="4" w:space="0" w:color="auto"/>
              <w:right w:val="single" w:sz="4" w:space="0" w:color="auto"/>
            </w:tcBorders>
          </w:tcPr>
          <w:p w14:paraId="1CE2569E" w14:textId="77777777" w:rsidR="00AF7381" w:rsidRPr="001C76A0" w:rsidRDefault="00AF7381" w:rsidP="000F6ABE">
            <w:pPr>
              <w:spacing w:before="0" w:after="0"/>
              <w:rPr>
                <w:sz w:val="22"/>
                <w:szCs w:val="22"/>
                <w:lang w:val="en-US"/>
              </w:rPr>
            </w:pPr>
            <w:r w:rsidRPr="001C76A0">
              <w:rPr>
                <w:sz w:val="22"/>
                <w:szCs w:val="22"/>
                <w:lang w:val="en-US"/>
              </w:rPr>
              <w:t>Equity Madrid Stock Exchange Spain</w:t>
            </w:r>
          </w:p>
        </w:tc>
      </w:tr>
      <w:tr w:rsidR="00AF7381" w:rsidRPr="003E5C6C" w14:paraId="32713503" w14:textId="77777777" w:rsidTr="000F6ABE">
        <w:trPr>
          <w:trHeight w:val="227"/>
        </w:trPr>
        <w:tc>
          <w:tcPr>
            <w:tcW w:w="1668" w:type="dxa"/>
            <w:tcBorders>
              <w:top w:val="single" w:sz="4" w:space="0" w:color="auto"/>
              <w:left w:val="single" w:sz="4" w:space="0" w:color="auto"/>
              <w:bottom w:val="single" w:sz="4" w:space="0" w:color="auto"/>
              <w:right w:val="single" w:sz="4" w:space="0" w:color="auto"/>
            </w:tcBorders>
          </w:tcPr>
          <w:p w14:paraId="523CE1FD" w14:textId="77777777" w:rsidR="00AF7381" w:rsidRPr="001C76A0" w:rsidRDefault="00AF7381" w:rsidP="000F6ABE">
            <w:pPr>
              <w:spacing w:before="0" w:after="0"/>
              <w:rPr>
                <w:sz w:val="22"/>
                <w:szCs w:val="22"/>
                <w:lang w:val="en-US"/>
              </w:rPr>
            </w:pPr>
            <w:r w:rsidRPr="001C76A0">
              <w:rPr>
                <w:sz w:val="22"/>
                <w:szCs w:val="22"/>
                <w:lang w:val="en-US"/>
              </w:rPr>
              <w:lastRenderedPageBreak/>
              <w:t>2</w:t>
            </w:r>
            <w:r>
              <w:rPr>
                <w:sz w:val="22"/>
                <w:szCs w:val="22"/>
                <w:lang w:val="en-US"/>
              </w:rPr>
              <w:t>6</w:t>
            </w:r>
          </w:p>
        </w:tc>
        <w:tc>
          <w:tcPr>
            <w:tcW w:w="1842" w:type="dxa"/>
            <w:tcBorders>
              <w:top w:val="single" w:sz="4" w:space="0" w:color="auto"/>
              <w:left w:val="single" w:sz="4" w:space="0" w:color="auto"/>
              <w:bottom w:val="single" w:sz="4" w:space="0" w:color="auto"/>
              <w:right w:val="single" w:sz="4" w:space="0" w:color="auto"/>
            </w:tcBorders>
          </w:tcPr>
          <w:p w14:paraId="04B695BC" w14:textId="77777777" w:rsidR="00AF7381" w:rsidRPr="001C76A0" w:rsidRDefault="00AF7381" w:rsidP="000F6ABE">
            <w:pPr>
              <w:spacing w:before="0" w:after="0"/>
              <w:rPr>
                <w:sz w:val="22"/>
                <w:szCs w:val="22"/>
                <w:lang w:val="en-US"/>
              </w:rPr>
            </w:pPr>
            <w:r w:rsidRPr="001C76A0">
              <w:rPr>
                <w:sz w:val="22"/>
                <w:szCs w:val="22"/>
                <w:lang w:val="en-US"/>
              </w:rPr>
              <w:t>SQ</w:t>
            </w:r>
          </w:p>
        </w:tc>
        <w:tc>
          <w:tcPr>
            <w:tcW w:w="6118" w:type="dxa"/>
            <w:tcBorders>
              <w:top w:val="single" w:sz="4" w:space="0" w:color="auto"/>
              <w:left w:val="single" w:sz="4" w:space="0" w:color="auto"/>
              <w:bottom w:val="single" w:sz="4" w:space="0" w:color="auto"/>
              <w:right w:val="single" w:sz="4" w:space="0" w:color="auto"/>
            </w:tcBorders>
          </w:tcPr>
          <w:p w14:paraId="6B9AF335" w14:textId="77777777" w:rsidR="00AF7381" w:rsidRPr="001C76A0" w:rsidRDefault="00AF7381" w:rsidP="000F6ABE">
            <w:pPr>
              <w:spacing w:before="0" w:after="0"/>
              <w:rPr>
                <w:sz w:val="22"/>
                <w:szCs w:val="22"/>
                <w:lang w:val="en-US"/>
              </w:rPr>
            </w:pPr>
            <w:r w:rsidRPr="001C76A0">
              <w:rPr>
                <w:sz w:val="22"/>
                <w:szCs w:val="22"/>
                <w:lang w:val="en-US"/>
              </w:rPr>
              <w:t xml:space="preserve">Equity Sociedad de </w:t>
            </w:r>
            <w:proofErr w:type="spellStart"/>
            <w:r w:rsidRPr="001C76A0">
              <w:rPr>
                <w:sz w:val="22"/>
                <w:szCs w:val="22"/>
                <w:lang w:val="en-US"/>
              </w:rPr>
              <w:t>Bolsas</w:t>
            </w:r>
            <w:proofErr w:type="spellEnd"/>
            <w:r w:rsidRPr="001C76A0">
              <w:rPr>
                <w:sz w:val="22"/>
                <w:szCs w:val="22"/>
                <w:lang w:val="en-US"/>
              </w:rPr>
              <w:t xml:space="preserve"> Spain</w:t>
            </w:r>
          </w:p>
        </w:tc>
      </w:tr>
      <w:tr w:rsidR="00AF7381" w:rsidRPr="00CE324E" w14:paraId="70001672" w14:textId="77777777" w:rsidTr="000F6ABE">
        <w:trPr>
          <w:trHeight w:val="227"/>
        </w:trPr>
        <w:tc>
          <w:tcPr>
            <w:tcW w:w="1668" w:type="dxa"/>
            <w:tcBorders>
              <w:top w:val="single" w:sz="4" w:space="0" w:color="auto"/>
              <w:left w:val="single" w:sz="4" w:space="0" w:color="auto"/>
              <w:bottom w:val="single" w:sz="4" w:space="0" w:color="auto"/>
              <w:right w:val="single" w:sz="4" w:space="0" w:color="auto"/>
            </w:tcBorders>
          </w:tcPr>
          <w:p w14:paraId="3C0B7833" w14:textId="77777777" w:rsidR="00AF7381" w:rsidRPr="001C76A0" w:rsidRDefault="00AF7381" w:rsidP="000F6ABE">
            <w:pPr>
              <w:spacing w:before="0" w:after="0"/>
              <w:rPr>
                <w:sz w:val="22"/>
                <w:szCs w:val="22"/>
                <w:lang w:val="en-US"/>
              </w:rPr>
            </w:pPr>
            <w:r w:rsidRPr="001C76A0">
              <w:rPr>
                <w:sz w:val="22"/>
                <w:szCs w:val="22"/>
                <w:lang w:val="en-US"/>
              </w:rPr>
              <w:t>2</w:t>
            </w:r>
            <w:r>
              <w:rPr>
                <w:sz w:val="22"/>
                <w:szCs w:val="22"/>
                <w:lang w:val="en-US"/>
              </w:rPr>
              <w:t>7</w:t>
            </w:r>
          </w:p>
        </w:tc>
        <w:tc>
          <w:tcPr>
            <w:tcW w:w="1842" w:type="dxa"/>
            <w:tcBorders>
              <w:top w:val="single" w:sz="4" w:space="0" w:color="auto"/>
              <w:left w:val="single" w:sz="4" w:space="0" w:color="auto"/>
              <w:bottom w:val="single" w:sz="4" w:space="0" w:color="auto"/>
              <w:right w:val="single" w:sz="4" w:space="0" w:color="auto"/>
            </w:tcBorders>
          </w:tcPr>
          <w:p w14:paraId="1F0F1AA4" w14:textId="77777777" w:rsidR="00AF7381" w:rsidRPr="001C76A0" w:rsidRDefault="00AF7381" w:rsidP="000F6ABE">
            <w:pPr>
              <w:spacing w:before="0" w:after="0"/>
              <w:rPr>
                <w:sz w:val="22"/>
                <w:szCs w:val="22"/>
                <w:lang w:val="en-US"/>
              </w:rPr>
            </w:pPr>
            <w:r w:rsidRPr="001C76A0">
              <w:rPr>
                <w:sz w:val="22"/>
                <w:szCs w:val="22"/>
                <w:lang w:val="en-US"/>
              </w:rPr>
              <w:t>IM</w:t>
            </w:r>
          </w:p>
        </w:tc>
        <w:tc>
          <w:tcPr>
            <w:tcW w:w="6118" w:type="dxa"/>
            <w:tcBorders>
              <w:top w:val="single" w:sz="4" w:space="0" w:color="auto"/>
              <w:left w:val="single" w:sz="4" w:space="0" w:color="auto"/>
              <w:bottom w:val="single" w:sz="4" w:space="0" w:color="auto"/>
              <w:right w:val="single" w:sz="4" w:space="0" w:color="auto"/>
            </w:tcBorders>
          </w:tcPr>
          <w:p w14:paraId="217DBE73" w14:textId="77777777" w:rsidR="00AF7381" w:rsidRPr="001C76A0" w:rsidRDefault="00AF7381" w:rsidP="000F6ABE">
            <w:pPr>
              <w:spacing w:before="0" w:after="0"/>
              <w:rPr>
                <w:sz w:val="22"/>
                <w:szCs w:val="22"/>
                <w:lang w:val="en-US"/>
              </w:rPr>
            </w:pPr>
            <w:r w:rsidRPr="001C76A0">
              <w:rPr>
                <w:sz w:val="22"/>
                <w:szCs w:val="22"/>
                <w:lang w:val="en-US"/>
              </w:rPr>
              <w:t xml:space="preserve">Equity </w:t>
            </w:r>
            <w:proofErr w:type="spellStart"/>
            <w:r w:rsidRPr="001C76A0">
              <w:rPr>
                <w:sz w:val="22"/>
                <w:szCs w:val="22"/>
                <w:lang w:val="en-US"/>
              </w:rPr>
              <w:t>Borsa</w:t>
            </w:r>
            <w:proofErr w:type="spellEnd"/>
            <w:r w:rsidRPr="001C76A0">
              <w:rPr>
                <w:sz w:val="22"/>
                <w:szCs w:val="22"/>
                <w:lang w:val="en-US"/>
              </w:rPr>
              <w:t xml:space="preserve"> </w:t>
            </w:r>
            <w:proofErr w:type="spellStart"/>
            <w:r w:rsidRPr="001C76A0">
              <w:rPr>
                <w:sz w:val="22"/>
                <w:szCs w:val="22"/>
                <w:lang w:val="en-US"/>
              </w:rPr>
              <w:t>Italiana</w:t>
            </w:r>
            <w:proofErr w:type="spellEnd"/>
            <w:r w:rsidRPr="001C76A0">
              <w:rPr>
                <w:sz w:val="22"/>
                <w:szCs w:val="22"/>
                <w:lang w:val="en-US"/>
              </w:rPr>
              <w:t xml:space="preserve"> Italy</w:t>
            </w:r>
          </w:p>
        </w:tc>
      </w:tr>
      <w:tr w:rsidR="00AF7381" w:rsidRPr="001C76A0" w14:paraId="5333CA1E" w14:textId="77777777" w:rsidTr="000F6ABE">
        <w:trPr>
          <w:trHeight w:val="227"/>
        </w:trPr>
        <w:tc>
          <w:tcPr>
            <w:tcW w:w="1668" w:type="dxa"/>
            <w:tcBorders>
              <w:top w:val="single" w:sz="4" w:space="0" w:color="auto"/>
              <w:left w:val="single" w:sz="4" w:space="0" w:color="auto"/>
              <w:bottom w:val="single" w:sz="4" w:space="0" w:color="auto"/>
              <w:right w:val="single" w:sz="4" w:space="0" w:color="auto"/>
            </w:tcBorders>
          </w:tcPr>
          <w:p w14:paraId="4E69F6FE" w14:textId="77777777" w:rsidR="00AF7381" w:rsidRPr="001C76A0" w:rsidRDefault="00AF7381" w:rsidP="000F6ABE">
            <w:pPr>
              <w:spacing w:before="0" w:after="0"/>
              <w:rPr>
                <w:sz w:val="22"/>
                <w:szCs w:val="22"/>
                <w:lang w:val="en-US"/>
              </w:rPr>
            </w:pPr>
            <w:r w:rsidRPr="001C76A0">
              <w:rPr>
                <w:sz w:val="22"/>
                <w:szCs w:val="22"/>
                <w:lang w:val="en-US"/>
              </w:rPr>
              <w:t>2</w:t>
            </w:r>
            <w:r>
              <w:rPr>
                <w:sz w:val="22"/>
                <w:szCs w:val="22"/>
                <w:lang w:val="en-US"/>
              </w:rPr>
              <w:t>8</w:t>
            </w:r>
          </w:p>
        </w:tc>
        <w:tc>
          <w:tcPr>
            <w:tcW w:w="1842" w:type="dxa"/>
            <w:tcBorders>
              <w:top w:val="single" w:sz="4" w:space="0" w:color="auto"/>
              <w:left w:val="single" w:sz="4" w:space="0" w:color="auto"/>
              <w:bottom w:val="single" w:sz="4" w:space="0" w:color="auto"/>
              <w:right w:val="single" w:sz="4" w:space="0" w:color="auto"/>
            </w:tcBorders>
          </w:tcPr>
          <w:p w14:paraId="5235578C" w14:textId="77777777" w:rsidR="00AF7381" w:rsidRPr="001C76A0" w:rsidRDefault="00AF7381" w:rsidP="000F6ABE">
            <w:pPr>
              <w:spacing w:before="0" w:after="0"/>
              <w:rPr>
                <w:sz w:val="22"/>
                <w:szCs w:val="22"/>
                <w:lang w:val="en-US"/>
              </w:rPr>
            </w:pPr>
            <w:r w:rsidRPr="001C76A0">
              <w:rPr>
                <w:sz w:val="22"/>
                <w:szCs w:val="22"/>
                <w:lang w:val="en-US"/>
              </w:rPr>
              <w:t>PL</w:t>
            </w:r>
          </w:p>
        </w:tc>
        <w:tc>
          <w:tcPr>
            <w:tcW w:w="6118" w:type="dxa"/>
            <w:tcBorders>
              <w:top w:val="single" w:sz="4" w:space="0" w:color="auto"/>
              <w:left w:val="single" w:sz="4" w:space="0" w:color="auto"/>
              <w:bottom w:val="single" w:sz="4" w:space="0" w:color="auto"/>
              <w:right w:val="single" w:sz="4" w:space="0" w:color="auto"/>
            </w:tcBorders>
          </w:tcPr>
          <w:p w14:paraId="636C7790" w14:textId="77777777" w:rsidR="00AF7381" w:rsidRPr="001C76A0" w:rsidRDefault="00AF7381" w:rsidP="000F6ABE">
            <w:pPr>
              <w:spacing w:before="0" w:after="0"/>
              <w:rPr>
                <w:sz w:val="22"/>
                <w:szCs w:val="22"/>
                <w:lang w:val="en-US"/>
              </w:rPr>
            </w:pPr>
            <w:r w:rsidRPr="001C76A0">
              <w:rPr>
                <w:sz w:val="22"/>
                <w:szCs w:val="22"/>
                <w:lang w:val="en-US"/>
              </w:rPr>
              <w:t>Equity Euronext Lisbon Portugal</w:t>
            </w:r>
          </w:p>
        </w:tc>
      </w:tr>
      <w:tr w:rsidR="00AF7381" w:rsidRPr="001C76A0" w14:paraId="1B6242E6" w14:textId="77777777" w:rsidTr="000F6ABE">
        <w:trPr>
          <w:trHeight w:val="227"/>
        </w:trPr>
        <w:tc>
          <w:tcPr>
            <w:tcW w:w="1668" w:type="dxa"/>
            <w:tcBorders>
              <w:top w:val="single" w:sz="4" w:space="0" w:color="auto"/>
              <w:left w:val="single" w:sz="4" w:space="0" w:color="auto"/>
              <w:bottom w:val="single" w:sz="4" w:space="0" w:color="auto"/>
              <w:right w:val="single" w:sz="4" w:space="0" w:color="auto"/>
            </w:tcBorders>
          </w:tcPr>
          <w:p w14:paraId="04DDD5F1" w14:textId="77777777" w:rsidR="00AF7381" w:rsidRPr="001C76A0" w:rsidRDefault="00AF7381" w:rsidP="000F6ABE">
            <w:pPr>
              <w:spacing w:before="0" w:after="0"/>
              <w:rPr>
                <w:sz w:val="22"/>
                <w:szCs w:val="22"/>
                <w:lang w:val="en-US"/>
              </w:rPr>
            </w:pPr>
            <w:r>
              <w:rPr>
                <w:sz w:val="22"/>
                <w:szCs w:val="22"/>
                <w:lang w:val="en-US"/>
              </w:rPr>
              <w:t>29</w:t>
            </w:r>
          </w:p>
        </w:tc>
        <w:tc>
          <w:tcPr>
            <w:tcW w:w="1842" w:type="dxa"/>
            <w:tcBorders>
              <w:top w:val="single" w:sz="4" w:space="0" w:color="auto"/>
              <w:left w:val="single" w:sz="4" w:space="0" w:color="auto"/>
              <w:bottom w:val="single" w:sz="4" w:space="0" w:color="auto"/>
              <w:right w:val="single" w:sz="4" w:space="0" w:color="auto"/>
            </w:tcBorders>
          </w:tcPr>
          <w:p w14:paraId="4D652763" w14:textId="77777777" w:rsidR="00AF7381" w:rsidRPr="001C76A0" w:rsidRDefault="00AF7381" w:rsidP="000F6ABE">
            <w:pPr>
              <w:spacing w:before="0" w:after="0"/>
              <w:rPr>
                <w:sz w:val="22"/>
                <w:szCs w:val="22"/>
                <w:lang w:val="en-US"/>
              </w:rPr>
            </w:pPr>
            <w:r w:rsidRPr="001C76A0">
              <w:rPr>
                <w:sz w:val="22"/>
                <w:szCs w:val="22"/>
                <w:lang w:val="en-US"/>
              </w:rPr>
              <w:t>SP</w:t>
            </w:r>
          </w:p>
        </w:tc>
        <w:tc>
          <w:tcPr>
            <w:tcW w:w="6118" w:type="dxa"/>
            <w:tcBorders>
              <w:top w:val="single" w:sz="4" w:space="0" w:color="auto"/>
              <w:left w:val="single" w:sz="4" w:space="0" w:color="auto"/>
              <w:bottom w:val="single" w:sz="4" w:space="0" w:color="auto"/>
              <w:right w:val="single" w:sz="4" w:space="0" w:color="auto"/>
            </w:tcBorders>
          </w:tcPr>
          <w:p w14:paraId="3CA4DA94" w14:textId="77777777" w:rsidR="00AF7381" w:rsidRPr="001C76A0" w:rsidRDefault="00AF7381" w:rsidP="000F6ABE">
            <w:pPr>
              <w:spacing w:before="0" w:after="0"/>
              <w:rPr>
                <w:sz w:val="22"/>
                <w:szCs w:val="22"/>
                <w:lang w:val="en-US"/>
              </w:rPr>
            </w:pPr>
            <w:r w:rsidRPr="001C76A0">
              <w:rPr>
                <w:sz w:val="22"/>
                <w:szCs w:val="22"/>
                <w:lang w:val="en-US"/>
              </w:rPr>
              <w:t>Equity Singapore Exchange Singapore</w:t>
            </w:r>
          </w:p>
        </w:tc>
      </w:tr>
      <w:tr w:rsidR="00AF7381" w:rsidRPr="001C76A0" w14:paraId="3F7B04FF" w14:textId="77777777" w:rsidTr="000F6ABE">
        <w:trPr>
          <w:trHeight w:val="227"/>
        </w:trPr>
        <w:tc>
          <w:tcPr>
            <w:tcW w:w="1668" w:type="dxa"/>
            <w:tcBorders>
              <w:top w:val="single" w:sz="4" w:space="0" w:color="auto"/>
              <w:left w:val="single" w:sz="4" w:space="0" w:color="auto"/>
              <w:bottom w:val="single" w:sz="4" w:space="0" w:color="auto"/>
              <w:right w:val="single" w:sz="4" w:space="0" w:color="auto"/>
            </w:tcBorders>
          </w:tcPr>
          <w:p w14:paraId="23AD30F2" w14:textId="77777777" w:rsidR="00AF7381" w:rsidRPr="001C76A0" w:rsidRDefault="00AF7381" w:rsidP="000F6ABE">
            <w:pPr>
              <w:spacing w:before="0" w:after="0"/>
              <w:rPr>
                <w:sz w:val="22"/>
                <w:szCs w:val="22"/>
                <w:lang w:val="en-US"/>
              </w:rPr>
            </w:pPr>
            <w:r>
              <w:rPr>
                <w:sz w:val="22"/>
                <w:szCs w:val="22"/>
                <w:lang w:val="en-US"/>
              </w:rPr>
              <w:t>30</w:t>
            </w:r>
          </w:p>
        </w:tc>
        <w:tc>
          <w:tcPr>
            <w:tcW w:w="1842" w:type="dxa"/>
            <w:tcBorders>
              <w:top w:val="single" w:sz="4" w:space="0" w:color="auto"/>
              <w:left w:val="single" w:sz="4" w:space="0" w:color="auto"/>
              <w:bottom w:val="single" w:sz="4" w:space="0" w:color="auto"/>
              <w:right w:val="single" w:sz="4" w:space="0" w:color="auto"/>
            </w:tcBorders>
          </w:tcPr>
          <w:p w14:paraId="463B8104" w14:textId="77777777" w:rsidR="00AF7381" w:rsidRPr="001C76A0" w:rsidRDefault="00AF7381" w:rsidP="000F6ABE">
            <w:pPr>
              <w:spacing w:before="0" w:after="0"/>
              <w:rPr>
                <w:sz w:val="22"/>
                <w:szCs w:val="22"/>
                <w:lang w:val="en-US"/>
              </w:rPr>
            </w:pPr>
            <w:r w:rsidRPr="001C76A0">
              <w:rPr>
                <w:sz w:val="22"/>
                <w:szCs w:val="22"/>
                <w:lang w:val="en-US"/>
              </w:rPr>
              <w:t>BB</w:t>
            </w:r>
          </w:p>
        </w:tc>
        <w:tc>
          <w:tcPr>
            <w:tcW w:w="6118" w:type="dxa"/>
            <w:tcBorders>
              <w:top w:val="single" w:sz="4" w:space="0" w:color="auto"/>
              <w:left w:val="single" w:sz="4" w:space="0" w:color="auto"/>
              <w:bottom w:val="single" w:sz="4" w:space="0" w:color="auto"/>
              <w:right w:val="single" w:sz="4" w:space="0" w:color="auto"/>
            </w:tcBorders>
          </w:tcPr>
          <w:p w14:paraId="73D14CC5" w14:textId="77777777" w:rsidR="00AF7381" w:rsidRPr="001C76A0" w:rsidRDefault="00AF7381" w:rsidP="000F6ABE">
            <w:pPr>
              <w:spacing w:before="0" w:after="0"/>
              <w:rPr>
                <w:sz w:val="22"/>
                <w:szCs w:val="22"/>
                <w:lang w:val="en-US"/>
              </w:rPr>
            </w:pPr>
            <w:r w:rsidRPr="001C76A0">
              <w:rPr>
                <w:sz w:val="22"/>
                <w:szCs w:val="22"/>
                <w:lang w:val="en-US"/>
              </w:rPr>
              <w:t>Equity Euronext Brussels Belgium</w:t>
            </w:r>
          </w:p>
        </w:tc>
      </w:tr>
      <w:tr w:rsidR="00AF7381" w:rsidRPr="001C76A0" w14:paraId="23A025C8" w14:textId="77777777" w:rsidTr="000F6ABE">
        <w:trPr>
          <w:trHeight w:val="227"/>
        </w:trPr>
        <w:tc>
          <w:tcPr>
            <w:tcW w:w="1668" w:type="dxa"/>
            <w:tcBorders>
              <w:top w:val="single" w:sz="4" w:space="0" w:color="auto"/>
              <w:left w:val="single" w:sz="4" w:space="0" w:color="auto"/>
              <w:bottom w:val="single" w:sz="4" w:space="0" w:color="auto"/>
              <w:right w:val="single" w:sz="4" w:space="0" w:color="auto"/>
            </w:tcBorders>
          </w:tcPr>
          <w:p w14:paraId="6D7B85F9" w14:textId="77777777" w:rsidR="00AF7381" w:rsidRDefault="00AF7381" w:rsidP="000F6ABE">
            <w:pPr>
              <w:spacing w:before="0" w:after="0"/>
              <w:rPr>
                <w:sz w:val="22"/>
                <w:szCs w:val="22"/>
                <w:lang w:val="en-US"/>
              </w:rPr>
            </w:pPr>
            <w:r>
              <w:rPr>
                <w:sz w:val="22"/>
                <w:szCs w:val="22"/>
                <w:lang w:val="en-US"/>
              </w:rPr>
              <w:t>31</w:t>
            </w:r>
          </w:p>
        </w:tc>
        <w:tc>
          <w:tcPr>
            <w:tcW w:w="1842" w:type="dxa"/>
            <w:tcBorders>
              <w:top w:val="single" w:sz="4" w:space="0" w:color="auto"/>
              <w:left w:val="single" w:sz="4" w:space="0" w:color="auto"/>
              <w:bottom w:val="single" w:sz="4" w:space="0" w:color="auto"/>
              <w:right w:val="single" w:sz="4" w:space="0" w:color="auto"/>
            </w:tcBorders>
          </w:tcPr>
          <w:p w14:paraId="36CF8B68" w14:textId="77777777" w:rsidR="00AF7381" w:rsidRPr="001C76A0" w:rsidRDefault="00AF7381" w:rsidP="000F6ABE">
            <w:pPr>
              <w:spacing w:before="0" w:after="0"/>
              <w:rPr>
                <w:sz w:val="22"/>
                <w:szCs w:val="22"/>
                <w:lang w:val="en-US"/>
              </w:rPr>
            </w:pPr>
            <w:r>
              <w:rPr>
                <w:sz w:val="22"/>
                <w:szCs w:val="22"/>
                <w:lang w:val="en-US"/>
              </w:rPr>
              <w:t>UR</w:t>
            </w:r>
          </w:p>
        </w:tc>
        <w:tc>
          <w:tcPr>
            <w:tcW w:w="6118" w:type="dxa"/>
            <w:tcBorders>
              <w:top w:val="single" w:sz="4" w:space="0" w:color="auto"/>
              <w:left w:val="single" w:sz="4" w:space="0" w:color="auto"/>
              <w:bottom w:val="single" w:sz="4" w:space="0" w:color="auto"/>
              <w:right w:val="single" w:sz="4" w:space="0" w:color="auto"/>
            </w:tcBorders>
          </w:tcPr>
          <w:p w14:paraId="5323E8A0" w14:textId="77777777" w:rsidR="00AF7381" w:rsidRPr="001C76A0" w:rsidRDefault="00AF7381" w:rsidP="000F6ABE">
            <w:pPr>
              <w:spacing w:before="0" w:after="0"/>
              <w:rPr>
                <w:sz w:val="22"/>
                <w:szCs w:val="22"/>
                <w:lang w:val="en-US"/>
              </w:rPr>
            </w:pPr>
            <w:r>
              <w:rPr>
                <w:sz w:val="22"/>
                <w:szCs w:val="22"/>
                <w:lang w:val="en-US"/>
              </w:rPr>
              <w:t>Equity Nasdaq Capital Market</w:t>
            </w:r>
          </w:p>
        </w:tc>
      </w:tr>
    </w:tbl>
    <w:p w14:paraId="4139C9ED" w14:textId="77777777" w:rsidR="00AF7381" w:rsidRPr="00AF7381" w:rsidRDefault="00AF7381" w:rsidP="00AF7381">
      <w:pPr>
        <w:rPr>
          <w:lang w:val="en-US"/>
        </w:rPr>
      </w:pPr>
    </w:p>
    <w:p w14:paraId="73D8B077" w14:textId="77777777" w:rsidR="00C328C2" w:rsidRDefault="00C328C2" w:rsidP="00C328C2">
      <w:pPr>
        <w:pStyle w:val="ListParagraph"/>
        <w:ind w:left="284"/>
        <w:rPr>
          <w:lang w:val="en-US"/>
        </w:rPr>
      </w:pPr>
    </w:p>
    <w:p w14:paraId="14F5FB3A" w14:textId="77777777" w:rsidR="000F0316" w:rsidRDefault="000F0316" w:rsidP="000F0316">
      <w:pPr>
        <w:pStyle w:val="Heading1"/>
        <w:rPr>
          <w:lang w:val="en-US" w:eastAsia="en-US"/>
        </w:rPr>
      </w:pPr>
      <w:bookmarkStart w:id="5" w:name="_Toc93593758"/>
      <w:r>
        <w:rPr>
          <w:lang w:val="en-US" w:eastAsia="en-US"/>
        </w:rPr>
        <w:t>Annex B</w:t>
      </w:r>
      <w:bookmarkEnd w:id="5"/>
    </w:p>
    <w:p w14:paraId="3BB399EA" w14:textId="5D585629" w:rsidR="000F0316" w:rsidRDefault="000F0316" w:rsidP="000F0316">
      <w:pPr>
        <w:spacing w:before="0" w:after="160" w:line="259" w:lineRule="auto"/>
        <w:jc w:val="left"/>
        <w:rPr>
          <w:lang w:val="en-US"/>
        </w:rPr>
      </w:pPr>
      <w:r>
        <w:rPr>
          <w:lang w:val="en-US"/>
        </w:rPr>
        <w:t>As of May 2022</w:t>
      </w:r>
      <w:r w:rsidR="00686566">
        <w:rPr>
          <w:lang w:val="en-US"/>
        </w:rPr>
        <w:t>,</w:t>
      </w:r>
      <w:r>
        <w:rPr>
          <w:lang w:val="en-US"/>
        </w:rPr>
        <w:t xml:space="preserve"> the following inclusion criteria for the categories below were applicable.</w:t>
      </w:r>
    </w:p>
    <w:p w14:paraId="74248889" w14:textId="77777777" w:rsidR="000F0316" w:rsidRDefault="000F0316" w:rsidP="000F0316">
      <w:pPr>
        <w:spacing w:before="0" w:after="160" w:line="259" w:lineRule="auto"/>
        <w:jc w:val="left"/>
        <w:rPr>
          <w:lang w:val="en-US"/>
        </w:rPr>
      </w:pPr>
      <w:r>
        <w:rPr>
          <w:lang w:val="en-US"/>
        </w:rPr>
        <w:t>Please refer to the most recent document available under the URL as specified in section ‘2.2. Selection of the Index Components’ above for the most recent applicable categories and inclusion criteria.</w:t>
      </w:r>
    </w:p>
    <w:p w14:paraId="3896EA81" w14:textId="77777777" w:rsidR="000F0316" w:rsidRDefault="000F0316" w:rsidP="000F0316">
      <w:pPr>
        <w:spacing w:before="0" w:after="160" w:line="259" w:lineRule="auto"/>
        <w:jc w:val="left"/>
        <w:rPr>
          <w:lang w:val="en-US"/>
        </w:rPr>
      </w:pPr>
    </w:p>
    <w:tbl>
      <w:tblPr>
        <w:tblStyle w:val="TableGrid"/>
        <w:tblW w:w="9056" w:type="dxa"/>
        <w:tblInd w:w="592" w:type="dxa"/>
        <w:tblBorders>
          <w:left w:val="none" w:sz="0" w:space="0" w:color="auto"/>
          <w:right w:val="none" w:sz="0" w:space="0" w:color="auto"/>
          <w:insideV w:val="none" w:sz="0" w:space="0" w:color="auto"/>
        </w:tblBorders>
        <w:tblLook w:val="04A0" w:firstRow="1" w:lastRow="0" w:firstColumn="1" w:lastColumn="0" w:noHBand="0" w:noVBand="1"/>
      </w:tblPr>
      <w:tblGrid>
        <w:gridCol w:w="4528"/>
        <w:gridCol w:w="4528"/>
      </w:tblGrid>
      <w:tr w:rsidR="000F0316" w14:paraId="3E9F6871" w14:textId="77777777" w:rsidTr="0025466D">
        <w:trPr>
          <w:trHeight w:val="144"/>
        </w:trPr>
        <w:tc>
          <w:tcPr>
            <w:tcW w:w="4528" w:type="dxa"/>
          </w:tcPr>
          <w:p w14:paraId="10AF1EB9" w14:textId="77777777" w:rsidR="000F0316" w:rsidRPr="00376A2A" w:rsidRDefault="000F0316" w:rsidP="0025466D">
            <w:pPr>
              <w:spacing w:before="0" w:after="0"/>
              <w:jc w:val="left"/>
              <w:rPr>
                <w:b/>
                <w:bCs/>
                <w:lang w:val="en-US" w:eastAsia="en-US"/>
              </w:rPr>
            </w:pPr>
            <w:r>
              <w:rPr>
                <w:b/>
                <w:bCs/>
                <w:lang w:val="en-US" w:eastAsia="en-US"/>
              </w:rPr>
              <w:t>Categories</w:t>
            </w:r>
          </w:p>
        </w:tc>
        <w:tc>
          <w:tcPr>
            <w:tcW w:w="4528" w:type="dxa"/>
          </w:tcPr>
          <w:p w14:paraId="293A5A1A" w14:textId="77777777" w:rsidR="000F0316" w:rsidRPr="00376A2A" w:rsidRDefault="000F0316" w:rsidP="0025466D">
            <w:pPr>
              <w:spacing w:before="0" w:after="0"/>
              <w:jc w:val="left"/>
              <w:rPr>
                <w:b/>
                <w:bCs/>
                <w:lang w:val="en-US" w:eastAsia="en-US"/>
              </w:rPr>
            </w:pPr>
            <w:r w:rsidRPr="00376A2A">
              <w:rPr>
                <w:b/>
                <w:bCs/>
                <w:lang w:val="en-US" w:eastAsia="en-US"/>
              </w:rPr>
              <w:t xml:space="preserve">Inclusion </w:t>
            </w:r>
            <w:r>
              <w:rPr>
                <w:b/>
                <w:bCs/>
                <w:lang w:val="en-US" w:eastAsia="en-US"/>
              </w:rPr>
              <w:t>C</w:t>
            </w:r>
            <w:r w:rsidRPr="00376A2A">
              <w:rPr>
                <w:b/>
                <w:bCs/>
                <w:lang w:val="en-US" w:eastAsia="en-US"/>
              </w:rPr>
              <w:t>riterion</w:t>
            </w:r>
          </w:p>
        </w:tc>
      </w:tr>
      <w:tr w:rsidR="000F0316" w:rsidRPr="00807AB3" w14:paraId="65C98219" w14:textId="77777777" w:rsidTr="0025466D">
        <w:trPr>
          <w:trHeight w:val="144"/>
        </w:trPr>
        <w:tc>
          <w:tcPr>
            <w:tcW w:w="4528" w:type="dxa"/>
          </w:tcPr>
          <w:p w14:paraId="04769E75" w14:textId="77777777" w:rsidR="000F0316" w:rsidRPr="0009546C" w:rsidRDefault="000F0316" w:rsidP="0025466D">
            <w:pPr>
              <w:spacing w:before="0" w:after="0"/>
              <w:jc w:val="left"/>
              <w:rPr>
                <w:lang w:val="en-US" w:eastAsia="en-US"/>
              </w:rPr>
            </w:pPr>
            <w:r w:rsidRPr="00376A2A">
              <w:rPr>
                <w:lang w:val="en-US"/>
              </w:rPr>
              <w:t xml:space="preserve">Established norms around Environment, Human Rights, Corruption and </w:t>
            </w:r>
            <w:proofErr w:type="spellStart"/>
            <w:r w:rsidRPr="00376A2A">
              <w:rPr>
                <w:lang w:val="en-US"/>
              </w:rPr>
              <w:t>Labour</w:t>
            </w:r>
            <w:proofErr w:type="spellEnd"/>
            <w:r w:rsidRPr="00376A2A">
              <w:rPr>
                <w:lang w:val="en-US"/>
              </w:rPr>
              <w:t xml:space="preserve"> Rights</w:t>
            </w:r>
          </w:p>
        </w:tc>
        <w:tc>
          <w:tcPr>
            <w:tcW w:w="4528" w:type="dxa"/>
          </w:tcPr>
          <w:p w14:paraId="55A99517" w14:textId="77777777" w:rsidR="000F0316" w:rsidRPr="0009546C" w:rsidRDefault="000F0316" w:rsidP="0025466D">
            <w:pPr>
              <w:spacing w:before="0" w:after="0"/>
              <w:jc w:val="left"/>
              <w:rPr>
                <w:lang w:val="en-US" w:eastAsia="en-US"/>
              </w:rPr>
            </w:pPr>
            <w:r w:rsidRPr="00376A2A">
              <w:rPr>
                <w:lang w:val="en-US"/>
              </w:rPr>
              <w:t>Non-Compliance with the UNGC</w:t>
            </w:r>
          </w:p>
        </w:tc>
      </w:tr>
      <w:tr w:rsidR="000F0316" w14:paraId="20CCD627" w14:textId="77777777" w:rsidTr="0025466D">
        <w:trPr>
          <w:trHeight w:val="144"/>
        </w:trPr>
        <w:tc>
          <w:tcPr>
            <w:tcW w:w="4528" w:type="dxa"/>
          </w:tcPr>
          <w:p w14:paraId="7E90E4C0" w14:textId="77777777" w:rsidR="000F0316" w:rsidRDefault="000F0316" w:rsidP="0025466D">
            <w:pPr>
              <w:spacing w:before="0" w:after="0"/>
              <w:jc w:val="left"/>
              <w:rPr>
                <w:lang w:val="en-US" w:eastAsia="en-US"/>
              </w:rPr>
            </w:pPr>
            <w:r>
              <w:rPr>
                <w:lang w:val="en-US" w:eastAsia="en-US"/>
              </w:rPr>
              <w:t>Controversy</w:t>
            </w:r>
          </w:p>
        </w:tc>
        <w:tc>
          <w:tcPr>
            <w:tcW w:w="4528" w:type="dxa"/>
          </w:tcPr>
          <w:p w14:paraId="17A49AA1" w14:textId="77777777" w:rsidR="000F0316" w:rsidRDefault="000F0316" w:rsidP="0025466D">
            <w:pPr>
              <w:spacing w:before="0" w:after="0"/>
              <w:jc w:val="left"/>
              <w:rPr>
                <w:lang w:val="en-US" w:eastAsia="en-US"/>
              </w:rPr>
            </w:pPr>
            <w:r>
              <w:rPr>
                <w:lang w:val="en-US" w:eastAsia="en-US"/>
              </w:rPr>
              <w:t>Controversies with the Level 5</w:t>
            </w:r>
          </w:p>
        </w:tc>
      </w:tr>
      <w:tr w:rsidR="000F0316" w:rsidRPr="00807AB3" w14:paraId="7BCEBD4B" w14:textId="77777777" w:rsidTr="0025466D">
        <w:trPr>
          <w:trHeight w:val="144"/>
        </w:trPr>
        <w:tc>
          <w:tcPr>
            <w:tcW w:w="4528" w:type="dxa"/>
          </w:tcPr>
          <w:p w14:paraId="6D404A77" w14:textId="77777777" w:rsidR="000F0316" w:rsidRDefault="000F0316" w:rsidP="0025466D">
            <w:pPr>
              <w:spacing w:before="0" w:after="0"/>
              <w:jc w:val="left"/>
              <w:rPr>
                <w:lang w:val="en-US" w:eastAsia="en-US"/>
              </w:rPr>
            </w:pPr>
            <w:r>
              <w:rPr>
                <w:lang w:val="en-US" w:eastAsia="en-US"/>
              </w:rPr>
              <w:t>Tobacco</w:t>
            </w:r>
          </w:p>
        </w:tc>
        <w:tc>
          <w:tcPr>
            <w:tcW w:w="4528" w:type="dxa"/>
          </w:tcPr>
          <w:p w14:paraId="5675AF31" w14:textId="58DEFBC2" w:rsidR="000F0316" w:rsidRDefault="000F0316" w:rsidP="0025466D">
            <w:pPr>
              <w:spacing w:before="0" w:after="0"/>
              <w:jc w:val="left"/>
              <w:rPr>
                <w:lang w:val="en-US" w:eastAsia="en-US"/>
              </w:rPr>
            </w:pPr>
            <w:r>
              <w:rPr>
                <w:lang w:val="en-US" w:eastAsia="en-US"/>
              </w:rPr>
              <w:t>(5% Production &lt;OR&gt; 5% Retail &lt;OR&gt; 5% Related Products/</w:t>
            </w:r>
            <w:r w:rsidR="00686566">
              <w:rPr>
                <w:lang w:val="en-US" w:eastAsia="en-US"/>
              </w:rPr>
              <w:t>Services) *</w:t>
            </w:r>
          </w:p>
        </w:tc>
      </w:tr>
      <w:tr w:rsidR="000F0316" w:rsidRPr="00807AB3" w14:paraId="4ACC7EEF" w14:textId="77777777" w:rsidTr="0025466D">
        <w:trPr>
          <w:trHeight w:val="144"/>
        </w:trPr>
        <w:tc>
          <w:tcPr>
            <w:tcW w:w="4528" w:type="dxa"/>
          </w:tcPr>
          <w:p w14:paraId="4540E5ED" w14:textId="77777777" w:rsidR="000F0316" w:rsidRDefault="000F0316" w:rsidP="0025466D">
            <w:pPr>
              <w:spacing w:before="0" w:after="0"/>
              <w:jc w:val="left"/>
              <w:rPr>
                <w:lang w:val="en-US" w:eastAsia="en-US"/>
              </w:rPr>
            </w:pPr>
            <w:r>
              <w:rPr>
                <w:lang w:val="en-US" w:eastAsia="en-US"/>
              </w:rPr>
              <w:t>Defense – Weapons</w:t>
            </w:r>
          </w:p>
        </w:tc>
        <w:tc>
          <w:tcPr>
            <w:tcW w:w="4528" w:type="dxa"/>
          </w:tcPr>
          <w:p w14:paraId="65C17C5A" w14:textId="7D6D31F1" w:rsidR="000F0316" w:rsidRDefault="000F0316" w:rsidP="0025466D">
            <w:pPr>
              <w:spacing w:before="0" w:after="0"/>
              <w:jc w:val="left"/>
              <w:rPr>
                <w:lang w:val="en-US" w:eastAsia="en-US"/>
              </w:rPr>
            </w:pPr>
            <w:r>
              <w:rPr>
                <w:lang w:val="en-US" w:eastAsia="en-US"/>
              </w:rPr>
              <w:t xml:space="preserve">(10% Military Contracting Weapons &lt;OR&gt; </w:t>
            </w:r>
            <w:bookmarkStart w:id="6" w:name="_Hlk104276896"/>
            <w:r>
              <w:rPr>
                <w:lang w:val="en-US" w:eastAsia="en-US"/>
              </w:rPr>
              <w:t>10% Military Contracting Weapons – Related Products/</w:t>
            </w:r>
            <w:bookmarkEnd w:id="6"/>
            <w:r w:rsidR="00686566">
              <w:rPr>
                <w:lang w:val="en-US" w:eastAsia="en-US"/>
              </w:rPr>
              <w:t>Services) *</w:t>
            </w:r>
          </w:p>
        </w:tc>
      </w:tr>
      <w:tr w:rsidR="000F0316" w:rsidRPr="00807AB3" w14:paraId="7E0BED1F" w14:textId="77777777" w:rsidTr="0025466D">
        <w:trPr>
          <w:trHeight w:val="144"/>
        </w:trPr>
        <w:tc>
          <w:tcPr>
            <w:tcW w:w="4528" w:type="dxa"/>
          </w:tcPr>
          <w:p w14:paraId="222E626E" w14:textId="77777777" w:rsidR="000F0316" w:rsidRDefault="000F0316" w:rsidP="0025466D">
            <w:pPr>
              <w:spacing w:before="0" w:after="0"/>
              <w:jc w:val="left"/>
              <w:rPr>
                <w:lang w:val="en-US" w:eastAsia="en-US"/>
              </w:rPr>
            </w:pPr>
            <w:r>
              <w:rPr>
                <w:lang w:val="en-US" w:eastAsia="en-US"/>
              </w:rPr>
              <w:t>Defense – Controversial Weapons</w:t>
            </w:r>
          </w:p>
        </w:tc>
        <w:tc>
          <w:tcPr>
            <w:tcW w:w="4528" w:type="dxa"/>
          </w:tcPr>
          <w:p w14:paraId="6882D400" w14:textId="77777777" w:rsidR="000F0316" w:rsidRDefault="000F0316" w:rsidP="0025466D">
            <w:pPr>
              <w:spacing w:before="0" w:after="0"/>
              <w:jc w:val="left"/>
              <w:rPr>
                <w:lang w:val="en-US" w:eastAsia="en-US"/>
              </w:rPr>
            </w:pPr>
            <w:r>
              <w:rPr>
                <w:lang w:val="en-US" w:eastAsia="en-US"/>
              </w:rPr>
              <w:t>Any direct Involvement or any indirect Involvement through corporate ownership</w:t>
            </w:r>
          </w:p>
        </w:tc>
      </w:tr>
      <w:tr w:rsidR="000F0316" w:rsidRPr="00807AB3" w14:paraId="1EC331E8" w14:textId="77777777" w:rsidTr="0025466D">
        <w:trPr>
          <w:trHeight w:val="144"/>
        </w:trPr>
        <w:tc>
          <w:tcPr>
            <w:tcW w:w="4528" w:type="dxa"/>
          </w:tcPr>
          <w:p w14:paraId="2A94B865" w14:textId="77777777" w:rsidR="000F0316" w:rsidRDefault="000F0316" w:rsidP="0025466D">
            <w:pPr>
              <w:spacing w:before="0" w:after="0"/>
              <w:jc w:val="left"/>
              <w:rPr>
                <w:lang w:val="en-US" w:eastAsia="en-US"/>
              </w:rPr>
            </w:pPr>
            <w:r>
              <w:rPr>
                <w:lang w:val="en-US" w:eastAsia="en-US"/>
              </w:rPr>
              <w:t>Coal</w:t>
            </w:r>
          </w:p>
        </w:tc>
        <w:tc>
          <w:tcPr>
            <w:tcW w:w="4528" w:type="dxa"/>
          </w:tcPr>
          <w:p w14:paraId="2672D788" w14:textId="6121DD0A" w:rsidR="000F0316" w:rsidRDefault="000F0316" w:rsidP="0025466D">
            <w:pPr>
              <w:spacing w:before="0" w:after="0"/>
              <w:jc w:val="left"/>
              <w:rPr>
                <w:lang w:val="en-US" w:eastAsia="en-US"/>
              </w:rPr>
            </w:pPr>
            <w:r>
              <w:rPr>
                <w:lang w:val="en-US" w:eastAsia="en-US"/>
              </w:rPr>
              <w:t>(30% Thermal Coal Extraction &lt;OR&gt; 30% Power Generation &lt;OR&gt; 30% Supporting Products/</w:t>
            </w:r>
            <w:r w:rsidR="00686566">
              <w:rPr>
                <w:lang w:val="en-US" w:eastAsia="en-US"/>
              </w:rPr>
              <w:t>Services) *</w:t>
            </w:r>
          </w:p>
        </w:tc>
      </w:tr>
      <w:tr w:rsidR="000F0316" w14:paraId="55B8307D" w14:textId="77777777" w:rsidTr="0025466D">
        <w:trPr>
          <w:trHeight w:val="144"/>
        </w:trPr>
        <w:tc>
          <w:tcPr>
            <w:tcW w:w="4528" w:type="dxa"/>
          </w:tcPr>
          <w:p w14:paraId="415E5F48" w14:textId="77777777" w:rsidR="000F0316" w:rsidRDefault="000F0316" w:rsidP="0025466D">
            <w:pPr>
              <w:spacing w:before="0" w:after="0"/>
              <w:jc w:val="left"/>
              <w:rPr>
                <w:lang w:val="en-US" w:eastAsia="en-US"/>
              </w:rPr>
            </w:pPr>
            <w:r>
              <w:rPr>
                <w:lang w:val="en-US" w:eastAsia="en-US"/>
              </w:rPr>
              <w:t>Conventional Oil &amp; Gas</w:t>
            </w:r>
          </w:p>
        </w:tc>
        <w:tc>
          <w:tcPr>
            <w:tcW w:w="4528" w:type="dxa"/>
          </w:tcPr>
          <w:p w14:paraId="5C7A2A5E" w14:textId="77777777" w:rsidR="000F0316" w:rsidRDefault="000F0316" w:rsidP="0025466D">
            <w:pPr>
              <w:spacing w:before="0" w:after="0"/>
              <w:jc w:val="left"/>
              <w:rPr>
                <w:lang w:val="en-US" w:eastAsia="en-US"/>
              </w:rPr>
            </w:pPr>
            <w:r>
              <w:rPr>
                <w:lang w:val="en-US" w:eastAsia="en-US"/>
              </w:rPr>
              <w:t>25% Production*</w:t>
            </w:r>
          </w:p>
        </w:tc>
      </w:tr>
      <w:tr w:rsidR="000F0316" w:rsidRPr="00807AB3" w14:paraId="2A3F76DD" w14:textId="77777777" w:rsidTr="0025466D">
        <w:trPr>
          <w:trHeight w:val="144"/>
        </w:trPr>
        <w:tc>
          <w:tcPr>
            <w:tcW w:w="9056" w:type="dxa"/>
            <w:gridSpan w:val="2"/>
          </w:tcPr>
          <w:p w14:paraId="16290B2C" w14:textId="77777777" w:rsidR="000F0316" w:rsidRDefault="000F0316" w:rsidP="0025466D">
            <w:pPr>
              <w:spacing w:before="0" w:after="0"/>
              <w:jc w:val="left"/>
              <w:rPr>
                <w:lang w:val="en-US" w:eastAsia="en-US"/>
              </w:rPr>
            </w:pPr>
            <w:r>
              <w:rPr>
                <w:lang w:val="en-US" w:eastAsia="en-US"/>
              </w:rPr>
              <w:t xml:space="preserve">Note: </w:t>
            </w:r>
          </w:p>
          <w:p w14:paraId="3F9E4FB5" w14:textId="6B29B773" w:rsidR="000F0316" w:rsidRPr="00AB7D1E" w:rsidRDefault="000F0316" w:rsidP="000F0316">
            <w:pPr>
              <w:pStyle w:val="ListParagraph"/>
              <w:numPr>
                <w:ilvl w:val="0"/>
                <w:numId w:val="25"/>
              </w:numPr>
              <w:spacing w:before="0" w:after="0"/>
              <w:jc w:val="left"/>
              <w:rPr>
                <w:lang w:val="en-US" w:eastAsia="en-US"/>
              </w:rPr>
            </w:pPr>
            <w:r w:rsidRPr="00AB7D1E">
              <w:rPr>
                <w:lang w:val="en-US" w:eastAsia="en-US"/>
              </w:rPr>
              <w:t xml:space="preserve">% </w:t>
            </w:r>
            <w:r w:rsidR="00686566" w:rsidRPr="00AB7D1E">
              <w:rPr>
                <w:lang w:val="en-US" w:eastAsia="en-US"/>
              </w:rPr>
              <w:t>Figures</w:t>
            </w:r>
            <w:r w:rsidRPr="00AB7D1E">
              <w:rPr>
                <w:lang w:val="en-US" w:eastAsia="en-US"/>
              </w:rPr>
              <w:t xml:space="preserve"> refer to revenue threshold (for degree of involvement). The criterion is fulfilled if involvement is equal to or above such threshold.</w:t>
            </w:r>
          </w:p>
          <w:p w14:paraId="3764997D" w14:textId="77777777" w:rsidR="000F0316" w:rsidRPr="00AB7D1E" w:rsidRDefault="000F0316" w:rsidP="000F0316">
            <w:pPr>
              <w:pStyle w:val="ListParagraph"/>
              <w:numPr>
                <w:ilvl w:val="0"/>
                <w:numId w:val="25"/>
              </w:numPr>
              <w:spacing w:before="0" w:after="0"/>
              <w:jc w:val="left"/>
              <w:rPr>
                <w:lang w:val="en-US" w:eastAsia="en-US"/>
              </w:rPr>
            </w:pPr>
            <w:r w:rsidRPr="00AB7D1E">
              <w:rPr>
                <w:lang w:val="en-US" w:eastAsia="en-US"/>
              </w:rPr>
              <w:t xml:space="preserve">The terminology used in the table above is specific to the </w:t>
            </w:r>
            <w:r w:rsidRPr="00E70B18">
              <w:rPr>
                <w:smallCaps/>
                <w:lang w:val="en-US" w:eastAsia="en-US"/>
              </w:rPr>
              <w:t>Data Provider</w:t>
            </w:r>
            <w:r>
              <w:rPr>
                <w:smallCaps/>
                <w:lang w:val="en-US" w:eastAsia="en-US"/>
              </w:rPr>
              <w:t xml:space="preserve"> II</w:t>
            </w:r>
            <w:r>
              <w:rPr>
                <w:b/>
                <w:bCs/>
                <w:smallCaps/>
                <w:lang w:val="en-US" w:eastAsia="en-US"/>
              </w:rPr>
              <w:t xml:space="preserve"> </w:t>
            </w:r>
            <w:r w:rsidRPr="00AB7D1E">
              <w:rPr>
                <w:lang w:val="en-US" w:eastAsia="en-US"/>
              </w:rPr>
              <w:t>and may change from time to time.</w:t>
            </w:r>
          </w:p>
          <w:p w14:paraId="296115DF" w14:textId="77777777" w:rsidR="000F0316" w:rsidRPr="00AB7D1E" w:rsidRDefault="000F0316" w:rsidP="0025466D">
            <w:pPr>
              <w:spacing w:before="0" w:after="0"/>
              <w:jc w:val="left"/>
              <w:rPr>
                <w:lang w:val="en-US" w:eastAsia="en-US"/>
              </w:rPr>
            </w:pPr>
          </w:p>
          <w:p w14:paraId="0C90CE1A" w14:textId="3A6FA96B" w:rsidR="000F0316" w:rsidRDefault="000F0316" w:rsidP="0025466D">
            <w:pPr>
              <w:spacing w:before="0" w:after="0"/>
              <w:jc w:val="left"/>
              <w:rPr>
                <w:lang w:val="en-US" w:eastAsia="en-US"/>
              </w:rPr>
            </w:pPr>
            <w:r>
              <w:rPr>
                <w:lang w:val="en-US" w:eastAsia="en-US"/>
              </w:rPr>
              <w:t>*</w:t>
            </w:r>
            <w:r w:rsidR="00686566">
              <w:rPr>
                <w:lang w:val="en-US" w:eastAsia="en-US"/>
              </w:rPr>
              <w:t>This</w:t>
            </w:r>
            <w:r>
              <w:rPr>
                <w:lang w:val="en-US" w:eastAsia="en-US"/>
              </w:rPr>
              <w:t xml:space="preserve"> includes significant corporate ownership (were a company holds a stake greater than 50% in an involved company, the revenues of the involved company are attributed to the company).</w:t>
            </w:r>
          </w:p>
        </w:tc>
      </w:tr>
    </w:tbl>
    <w:p w14:paraId="5FBFD7B2" w14:textId="77777777" w:rsidR="000F0316" w:rsidRDefault="000F0316" w:rsidP="000F0316">
      <w:pPr>
        <w:rPr>
          <w:lang w:val="en-US" w:eastAsia="en-US"/>
        </w:rPr>
      </w:pPr>
    </w:p>
    <w:p w14:paraId="5DC2B894" w14:textId="77777777" w:rsidR="000F0316" w:rsidRDefault="000F0316" w:rsidP="000F0316">
      <w:pPr>
        <w:rPr>
          <w:lang w:val="en-US" w:eastAsia="en-US"/>
        </w:rPr>
      </w:pPr>
      <w:r>
        <w:rPr>
          <w:lang w:val="en-US" w:eastAsia="en-US"/>
        </w:rPr>
        <w:lastRenderedPageBreak/>
        <w:t xml:space="preserve">Any company included in the </w:t>
      </w:r>
      <w:r w:rsidRPr="00CF58DD">
        <w:rPr>
          <w:smallCaps/>
          <w:lang w:val="en-US" w:eastAsia="en-US"/>
        </w:rPr>
        <w:t xml:space="preserve">Index Universe </w:t>
      </w:r>
      <w:r>
        <w:rPr>
          <w:lang w:val="en-US" w:eastAsia="en-US"/>
        </w:rPr>
        <w:t xml:space="preserve">which fulfills any of the </w:t>
      </w:r>
      <w:r w:rsidRPr="00506615">
        <w:rPr>
          <w:lang w:val="en-US" w:eastAsia="en-US"/>
        </w:rPr>
        <w:t>criteria</w:t>
      </w:r>
      <w:r>
        <w:rPr>
          <w:lang w:val="en-US" w:eastAsia="en-US"/>
        </w:rPr>
        <w:t xml:space="preserve"> set out above shall be a component of the ESG Exclusions Index. The primary listing for each company is selected as </w:t>
      </w:r>
      <w:r w:rsidRPr="007C66F9">
        <w:rPr>
          <w:smallCaps/>
          <w:lang w:val="en-US" w:eastAsia="en-US"/>
        </w:rPr>
        <w:t>Index Component</w:t>
      </w:r>
      <w:r>
        <w:rPr>
          <w:smallCaps/>
          <w:lang w:val="en-US" w:eastAsia="en-US"/>
        </w:rPr>
        <w:t>.</w:t>
      </w:r>
    </w:p>
    <w:p w14:paraId="3E636CEF" w14:textId="24590529" w:rsidR="000F0316" w:rsidRDefault="000F0316" w:rsidP="000F0316">
      <w:pPr>
        <w:spacing w:before="0" w:after="160" w:line="259" w:lineRule="auto"/>
        <w:jc w:val="left"/>
        <w:rPr>
          <w:lang w:val="en-US" w:eastAsia="en-US"/>
        </w:rPr>
      </w:pPr>
      <w:r>
        <w:rPr>
          <w:lang w:val="en-US" w:eastAsia="en-US"/>
        </w:rPr>
        <w:t xml:space="preserve">For the avoidance of doubt, any company for which an evaluation of the criteria is not possible due to the non-availability of relevant data with the </w:t>
      </w:r>
      <w:r w:rsidRPr="00CF58DD">
        <w:rPr>
          <w:smallCaps/>
          <w:lang w:val="en-US" w:eastAsia="en-US"/>
        </w:rPr>
        <w:t>Data Provider</w:t>
      </w:r>
      <w:r>
        <w:rPr>
          <w:smallCaps/>
          <w:lang w:val="en-US" w:eastAsia="en-US"/>
        </w:rPr>
        <w:t xml:space="preserve"> II</w:t>
      </w:r>
      <w:r>
        <w:rPr>
          <w:lang w:val="en-US" w:eastAsia="en-US"/>
        </w:rPr>
        <w:t>, shall not be a component of the ESG Exclusions Index.</w:t>
      </w:r>
      <w:bookmarkStart w:id="7" w:name="_Toc93593759"/>
      <w:r w:rsidRPr="000F0316">
        <w:rPr>
          <w:lang w:val="en-US" w:eastAsia="en-US"/>
        </w:rPr>
        <w:t xml:space="preserve"> </w:t>
      </w:r>
    </w:p>
    <w:p w14:paraId="0627CAB8" w14:textId="3F9899A2" w:rsidR="00F7153E" w:rsidRDefault="00F7153E" w:rsidP="000F0316">
      <w:pPr>
        <w:spacing w:before="0" w:after="160" w:line="259" w:lineRule="auto"/>
        <w:jc w:val="left"/>
        <w:rPr>
          <w:lang w:val="en-US" w:eastAsia="en-US"/>
        </w:rPr>
      </w:pPr>
    </w:p>
    <w:p w14:paraId="5C4ABCCF" w14:textId="3A3A2CB0" w:rsidR="00F7153E" w:rsidRDefault="00F7153E" w:rsidP="000F0316">
      <w:pPr>
        <w:spacing w:before="0" w:after="160" w:line="259" w:lineRule="auto"/>
        <w:jc w:val="left"/>
        <w:rPr>
          <w:lang w:val="en-US" w:eastAsia="en-US"/>
        </w:rPr>
      </w:pPr>
    </w:p>
    <w:p w14:paraId="64D12D75" w14:textId="77777777" w:rsidR="00F7153E" w:rsidRDefault="00F7153E" w:rsidP="000F0316">
      <w:pPr>
        <w:spacing w:before="0" w:after="160" w:line="259" w:lineRule="auto"/>
        <w:jc w:val="left"/>
        <w:rPr>
          <w:lang w:val="en-US" w:eastAsia="en-US"/>
        </w:rPr>
      </w:pPr>
    </w:p>
    <w:p w14:paraId="267F2EDF" w14:textId="77777777" w:rsidR="000F0316" w:rsidRDefault="000F0316" w:rsidP="000F0316">
      <w:pPr>
        <w:spacing w:before="0" w:after="160" w:line="259" w:lineRule="auto"/>
        <w:jc w:val="left"/>
        <w:rPr>
          <w:lang w:val="en-US" w:eastAsia="en-US"/>
        </w:rPr>
      </w:pPr>
    </w:p>
    <w:p w14:paraId="799F7289" w14:textId="06CB4003" w:rsidR="000F0316" w:rsidRDefault="000F0316" w:rsidP="000F0316">
      <w:pPr>
        <w:pStyle w:val="Heading1"/>
        <w:rPr>
          <w:lang w:val="en-US" w:eastAsia="en-US"/>
        </w:rPr>
      </w:pPr>
      <w:r>
        <w:rPr>
          <w:lang w:val="en-US" w:eastAsia="en-US"/>
        </w:rPr>
        <w:t>Annex C</w:t>
      </w:r>
      <w:bookmarkEnd w:id="7"/>
      <w:r>
        <w:rPr>
          <w:lang w:val="en-US" w:eastAsia="en-US"/>
        </w:rPr>
        <w:t xml:space="preserve"> </w:t>
      </w:r>
    </w:p>
    <w:p w14:paraId="74F9EA8D" w14:textId="77777777" w:rsidR="000F0316" w:rsidRPr="004C1DEB" w:rsidRDefault="000F0316" w:rsidP="000F0316">
      <w:pPr>
        <w:spacing w:before="0" w:after="160" w:line="259" w:lineRule="auto"/>
        <w:jc w:val="left"/>
        <w:rPr>
          <w:lang w:val="en-US"/>
        </w:rPr>
      </w:pPr>
      <w:r w:rsidRPr="004C1DEB">
        <w:rPr>
          <w:lang w:val="en-US"/>
        </w:rPr>
        <w:t xml:space="preserve">List of ETFs used to determine the total asset under management tracking the </w:t>
      </w:r>
      <w:r w:rsidRPr="004C1DEB">
        <w:rPr>
          <w:smallCaps/>
          <w:lang w:val="en-US"/>
        </w:rPr>
        <w:t>Index</w:t>
      </w:r>
      <w:r w:rsidRPr="004C1DEB">
        <w:rPr>
          <w:lang w:val="en-US"/>
        </w:rPr>
        <w:t>:</w:t>
      </w:r>
    </w:p>
    <w:tbl>
      <w:tblPr>
        <w:tblStyle w:val="TableGrid"/>
        <w:tblW w:w="0" w:type="auto"/>
        <w:tblLook w:val="04A0" w:firstRow="1" w:lastRow="0" w:firstColumn="1" w:lastColumn="0" w:noHBand="0" w:noVBand="1"/>
      </w:tblPr>
      <w:tblGrid>
        <w:gridCol w:w="1668"/>
        <w:gridCol w:w="1842"/>
        <w:gridCol w:w="6118"/>
      </w:tblGrid>
      <w:tr w:rsidR="000F0316" w14:paraId="22712A7F" w14:textId="77777777" w:rsidTr="0013629C">
        <w:trPr>
          <w:trHeight w:val="227"/>
        </w:trPr>
        <w:tc>
          <w:tcPr>
            <w:tcW w:w="1668" w:type="dxa"/>
            <w:tcBorders>
              <w:top w:val="single" w:sz="4" w:space="0" w:color="auto"/>
              <w:left w:val="single" w:sz="4" w:space="0" w:color="auto"/>
              <w:bottom w:val="single" w:sz="4" w:space="0" w:color="auto"/>
              <w:right w:val="single" w:sz="4" w:space="0" w:color="auto"/>
            </w:tcBorders>
            <w:hideMark/>
          </w:tcPr>
          <w:p w14:paraId="32A81BEF" w14:textId="77777777" w:rsidR="000F0316" w:rsidRDefault="000F0316" w:rsidP="0013629C">
            <w:pPr>
              <w:spacing w:before="0" w:after="0"/>
              <w:rPr>
                <w:b/>
                <w:sz w:val="22"/>
                <w:szCs w:val="22"/>
                <w:lang w:val="en-US"/>
              </w:rPr>
            </w:pPr>
            <w:r>
              <w:rPr>
                <w:b/>
                <w:sz w:val="22"/>
                <w:szCs w:val="22"/>
                <w:lang w:val="en-US"/>
              </w:rPr>
              <w:t>No.</w:t>
            </w:r>
          </w:p>
        </w:tc>
        <w:tc>
          <w:tcPr>
            <w:tcW w:w="1842" w:type="dxa"/>
            <w:tcBorders>
              <w:top w:val="single" w:sz="4" w:space="0" w:color="auto"/>
              <w:left w:val="single" w:sz="4" w:space="0" w:color="auto"/>
              <w:bottom w:val="single" w:sz="4" w:space="0" w:color="auto"/>
              <w:right w:val="single" w:sz="4" w:space="0" w:color="auto"/>
            </w:tcBorders>
            <w:hideMark/>
          </w:tcPr>
          <w:p w14:paraId="76446B46" w14:textId="77777777" w:rsidR="000F0316" w:rsidRDefault="000F0316" w:rsidP="0013629C">
            <w:pPr>
              <w:spacing w:before="0" w:after="0"/>
              <w:rPr>
                <w:b/>
                <w:sz w:val="22"/>
                <w:szCs w:val="22"/>
                <w:lang w:val="en-US"/>
              </w:rPr>
            </w:pPr>
            <w:r>
              <w:rPr>
                <w:b/>
                <w:sz w:val="22"/>
                <w:szCs w:val="22"/>
                <w:lang w:val="en-US"/>
              </w:rPr>
              <w:t>ISIN</w:t>
            </w:r>
          </w:p>
        </w:tc>
        <w:tc>
          <w:tcPr>
            <w:tcW w:w="6118" w:type="dxa"/>
            <w:tcBorders>
              <w:top w:val="single" w:sz="4" w:space="0" w:color="auto"/>
              <w:left w:val="single" w:sz="4" w:space="0" w:color="auto"/>
              <w:bottom w:val="single" w:sz="4" w:space="0" w:color="auto"/>
              <w:right w:val="single" w:sz="4" w:space="0" w:color="auto"/>
            </w:tcBorders>
            <w:hideMark/>
          </w:tcPr>
          <w:p w14:paraId="39D45943" w14:textId="77777777" w:rsidR="000F0316" w:rsidRDefault="000F0316" w:rsidP="0013629C">
            <w:pPr>
              <w:spacing w:before="0" w:after="0"/>
              <w:rPr>
                <w:b/>
                <w:sz w:val="22"/>
                <w:szCs w:val="22"/>
                <w:lang w:val="en-US"/>
              </w:rPr>
            </w:pPr>
            <w:r>
              <w:rPr>
                <w:b/>
                <w:sz w:val="22"/>
                <w:szCs w:val="22"/>
                <w:lang w:val="en-US"/>
              </w:rPr>
              <w:t>Name of the ETF</w:t>
            </w:r>
          </w:p>
        </w:tc>
      </w:tr>
      <w:tr w:rsidR="000F0316" w:rsidRPr="00807AB3" w14:paraId="46609AEE" w14:textId="77777777" w:rsidTr="0013629C">
        <w:trPr>
          <w:trHeight w:val="227"/>
        </w:trPr>
        <w:tc>
          <w:tcPr>
            <w:tcW w:w="1668" w:type="dxa"/>
            <w:tcBorders>
              <w:top w:val="single" w:sz="4" w:space="0" w:color="auto"/>
              <w:left w:val="single" w:sz="4" w:space="0" w:color="auto"/>
              <w:bottom w:val="single" w:sz="4" w:space="0" w:color="auto"/>
              <w:right w:val="single" w:sz="4" w:space="0" w:color="auto"/>
            </w:tcBorders>
            <w:hideMark/>
          </w:tcPr>
          <w:p w14:paraId="6A7804BA" w14:textId="77777777" w:rsidR="000F0316" w:rsidRDefault="000F0316" w:rsidP="0013629C">
            <w:pPr>
              <w:spacing w:before="0" w:after="0"/>
              <w:rPr>
                <w:sz w:val="22"/>
                <w:szCs w:val="22"/>
                <w:lang w:val="en-US"/>
              </w:rPr>
            </w:pPr>
            <w:r>
              <w:rPr>
                <w:sz w:val="22"/>
                <w:szCs w:val="22"/>
                <w:lang w:val="en-US"/>
              </w:rPr>
              <w:t>1</w:t>
            </w:r>
          </w:p>
        </w:tc>
        <w:tc>
          <w:tcPr>
            <w:tcW w:w="1842" w:type="dxa"/>
            <w:tcBorders>
              <w:top w:val="single" w:sz="4" w:space="0" w:color="auto"/>
              <w:left w:val="single" w:sz="4" w:space="0" w:color="auto"/>
              <w:bottom w:val="single" w:sz="4" w:space="0" w:color="auto"/>
              <w:right w:val="single" w:sz="4" w:space="0" w:color="auto"/>
            </w:tcBorders>
            <w:hideMark/>
          </w:tcPr>
          <w:p w14:paraId="195A556C" w14:textId="77777777" w:rsidR="000F0316" w:rsidRDefault="000F0316" w:rsidP="0013629C">
            <w:pPr>
              <w:spacing w:before="0" w:after="0"/>
              <w:rPr>
                <w:sz w:val="22"/>
                <w:szCs w:val="22"/>
                <w:lang w:val="en-US"/>
              </w:rPr>
            </w:pPr>
            <w:r w:rsidRPr="003C28A3">
              <w:rPr>
                <w:lang w:val="en-US"/>
              </w:rPr>
              <w:t>IE00BK5BCH80</w:t>
            </w:r>
          </w:p>
        </w:tc>
        <w:tc>
          <w:tcPr>
            <w:tcW w:w="6118" w:type="dxa"/>
            <w:tcBorders>
              <w:top w:val="single" w:sz="4" w:space="0" w:color="auto"/>
              <w:left w:val="single" w:sz="4" w:space="0" w:color="auto"/>
              <w:bottom w:val="single" w:sz="4" w:space="0" w:color="auto"/>
              <w:right w:val="single" w:sz="4" w:space="0" w:color="auto"/>
            </w:tcBorders>
            <w:hideMark/>
          </w:tcPr>
          <w:p w14:paraId="398BE1C2" w14:textId="77777777" w:rsidR="000F0316" w:rsidRPr="000840E2" w:rsidRDefault="000F0316" w:rsidP="0013629C">
            <w:pPr>
              <w:spacing w:before="0" w:after="0"/>
              <w:rPr>
                <w:sz w:val="22"/>
                <w:szCs w:val="22"/>
                <w:lang w:val="en-US"/>
              </w:rPr>
            </w:pPr>
            <w:r>
              <w:rPr>
                <w:lang w:val="en-US"/>
              </w:rPr>
              <w:t>L&amp;G Clean Energy UCITS ETF</w:t>
            </w:r>
          </w:p>
        </w:tc>
      </w:tr>
    </w:tbl>
    <w:p w14:paraId="2B6C9A58" w14:textId="48CE7B69" w:rsidR="00113086" w:rsidRPr="000F0316" w:rsidRDefault="000F0316" w:rsidP="000F0316">
      <w:pPr>
        <w:spacing w:before="0" w:after="160" w:line="259" w:lineRule="auto"/>
        <w:jc w:val="left"/>
        <w:rPr>
          <w:lang w:val="en-US"/>
        </w:rPr>
      </w:pPr>
      <w:r>
        <w:rPr>
          <w:lang w:val="en-US"/>
        </w:rPr>
        <w:br w:type="page"/>
      </w:r>
    </w:p>
    <w:p w14:paraId="45154AF2" w14:textId="01F83AEA"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lastRenderedPageBreak/>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35BEF0C7"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the</w:t>
      </w:r>
      <w:r w:rsidR="000F0316">
        <w:rPr>
          <w:lang w:val="en-US"/>
        </w:rPr>
        <w:t xml:space="preserve"> Solactive Cl</w:t>
      </w:r>
      <w:r w:rsidR="00686566">
        <w:rPr>
          <w:lang w:val="en-DE"/>
        </w:rPr>
        <w:t>e</w:t>
      </w:r>
      <w:r w:rsidR="000F0316">
        <w:rPr>
          <w:lang w:val="en-US"/>
        </w:rPr>
        <w:t>an Energy Index</w:t>
      </w:r>
      <w:r w:rsidR="00C04273" w:rsidRPr="00C04273">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807AB3"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00618AED" w14:textId="0F7D60FF" w:rsidR="00B6689F" w:rsidRDefault="00B6689F" w:rsidP="00B6689F">
      <w:pPr>
        <w:spacing w:before="0" w:after="160" w:line="259" w:lineRule="auto"/>
        <w:jc w:val="left"/>
        <w:rPr>
          <w:b/>
          <w:bCs/>
          <w:sz w:val="28"/>
          <w:szCs w:val="28"/>
          <w:u w:val="single"/>
          <w:lang w:val="en-GB"/>
        </w:rPr>
      </w:pPr>
    </w:p>
    <w:p w14:paraId="57FEE04A" w14:textId="67EF65ED" w:rsidR="000F0316" w:rsidRDefault="000F0316" w:rsidP="00B6689F">
      <w:pPr>
        <w:spacing w:before="0" w:after="160" w:line="259" w:lineRule="auto"/>
        <w:jc w:val="left"/>
        <w:rPr>
          <w:b/>
          <w:bCs/>
          <w:sz w:val="28"/>
          <w:szCs w:val="28"/>
          <w:u w:val="single"/>
          <w:lang w:val="en-GB"/>
        </w:rPr>
      </w:pPr>
    </w:p>
    <w:p w14:paraId="66261647" w14:textId="77777777" w:rsidR="000F0316" w:rsidRDefault="000F0316" w:rsidP="00B6689F">
      <w:pPr>
        <w:spacing w:before="0" w:after="160" w:line="259" w:lineRule="auto"/>
        <w:jc w:val="left"/>
        <w:rPr>
          <w:b/>
          <w:bCs/>
          <w:sz w:val="28"/>
          <w:szCs w:val="28"/>
          <w:u w:val="single"/>
          <w:lang w:val="en-GB"/>
        </w:rPr>
      </w:pPr>
    </w:p>
    <w:p w14:paraId="763D43B8" w14:textId="2B308B6C"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lastRenderedPageBreak/>
        <w:t>Consultation Procedure</w:t>
      </w:r>
    </w:p>
    <w:p w14:paraId="08D8E698" w14:textId="68C34469" w:rsidR="005055F5" w:rsidRDefault="005055F5" w:rsidP="005055F5">
      <w:pPr>
        <w:spacing w:before="0" w:after="0" w:line="360" w:lineRule="auto"/>
        <w:rPr>
          <w:lang w:val="en-US"/>
        </w:rPr>
      </w:pPr>
      <w:r w:rsidRPr="00C04273">
        <w:rPr>
          <w:lang w:val="en-US"/>
        </w:rPr>
        <w:t xml:space="preserve">Stakeholders and third parties who are interested in participating in this Market Consultation, are invited to respond </w:t>
      </w:r>
      <w:r w:rsidRPr="000F0316">
        <w:rPr>
          <w:lang w:val="en-US"/>
        </w:rPr>
        <w:t xml:space="preserve">until </w:t>
      </w:r>
      <w:r w:rsidR="000F0316" w:rsidRPr="000F0316">
        <w:rPr>
          <w:iCs/>
          <w:lang w:val="en-US"/>
        </w:rPr>
        <w:t>1</w:t>
      </w:r>
      <w:r w:rsidR="002F293C">
        <w:rPr>
          <w:iCs/>
          <w:lang w:val="en-US"/>
        </w:rPr>
        <w:t>9</w:t>
      </w:r>
      <w:r w:rsidR="000F0316" w:rsidRPr="000F0316">
        <w:rPr>
          <w:iCs/>
          <w:lang w:val="en-US"/>
        </w:rPr>
        <w:t>.07.2022</w:t>
      </w:r>
      <w:r w:rsidR="00686566">
        <w:rPr>
          <w:iCs/>
          <w:lang w:val="en-DE"/>
        </w:rPr>
        <w:t xml:space="preserve"> (cob)</w:t>
      </w:r>
      <w:r w:rsidRPr="000F0316">
        <w:rPr>
          <w:lang w:val="en-US"/>
        </w:rPr>
        <w:t>.</w:t>
      </w:r>
    </w:p>
    <w:p w14:paraId="741A56A5" w14:textId="2624687B" w:rsidR="00651886" w:rsidRPr="000F0316" w:rsidRDefault="00651886" w:rsidP="00651886">
      <w:pPr>
        <w:spacing w:before="0" w:after="0" w:line="360" w:lineRule="auto"/>
        <w:rPr>
          <w:lang w:val="en-US"/>
        </w:rPr>
      </w:pPr>
      <w:r w:rsidRPr="00FE1081">
        <w:rPr>
          <w:lang w:val="en-US"/>
        </w:rPr>
        <w:t xml:space="preserve">Subject to </w:t>
      </w:r>
      <w:r w:rsidRPr="000F0316">
        <w:rPr>
          <w:lang w:val="en-US"/>
        </w:rPr>
        <w:t xml:space="preserve">feedback received on this Market Consultation, the changes mentioned above are intended to become effective on </w:t>
      </w:r>
      <w:r w:rsidR="00E51EBD" w:rsidRPr="00E51EBD">
        <w:rPr>
          <w:iCs/>
          <w:lang w:val="en-US"/>
        </w:rPr>
        <w:t>0</w:t>
      </w:r>
      <w:r w:rsidR="002F293C">
        <w:rPr>
          <w:iCs/>
          <w:lang w:val="en-US"/>
        </w:rPr>
        <w:t>2</w:t>
      </w:r>
      <w:r w:rsidR="00E51EBD" w:rsidRPr="00E51EBD">
        <w:rPr>
          <w:iCs/>
          <w:lang w:val="en-US"/>
        </w:rPr>
        <w:t>.08.2022</w:t>
      </w:r>
      <w:r w:rsidR="004819FA" w:rsidRPr="00E51EBD">
        <w:rPr>
          <w:iCs/>
          <w:lang w:val="en-US"/>
        </w:rPr>
        <w:t>.</w:t>
      </w:r>
    </w:p>
    <w:p w14:paraId="0D223365" w14:textId="77777777" w:rsidR="00651886" w:rsidRPr="000F0316" w:rsidRDefault="00651886" w:rsidP="005055F5">
      <w:pPr>
        <w:spacing w:before="0" w:after="0" w:line="360" w:lineRule="auto"/>
        <w:rPr>
          <w:lang w:val="en-US"/>
        </w:rPr>
      </w:pPr>
    </w:p>
    <w:p w14:paraId="04131284" w14:textId="44EF809D" w:rsidR="005055F5" w:rsidRPr="00C04273" w:rsidRDefault="005055F5" w:rsidP="005055F5">
      <w:pPr>
        <w:spacing w:before="0" w:after="0" w:line="360" w:lineRule="auto"/>
        <w:rPr>
          <w:lang w:val="en-US"/>
        </w:rPr>
      </w:pPr>
      <w:r w:rsidRPr="000F0316">
        <w:rPr>
          <w:lang w:val="en-US"/>
        </w:rPr>
        <w:t xml:space="preserve">Please send your feedback via email to </w:t>
      </w:r>
      <w:hyperlink r:id="rId14" w:history="1">
        <w:r w:rsidR="00651D91" w:rsidRPr="000F0316">
          <w:rPr>
            <w:rStyle w:val="Hyperlink"/>
            <w:rFonts w:eastAsiaTheme="majorEastAsia"/>
            <w:lang w:val="en-GB"/>
          </w:rPr>
          <w:t>marketconsultation</w:t>
        </w:r>
        <w:r w:rsidR="00651D91" w:rsidRPr="000F0316">
          <w:rPr>
            <w:rStyle w:val="Hyperlink"/>
            <w:rFonts w:eastAsiaTheme="majorEastAsia"/>
            <w:lang w:val="en-US"/>
          </w:rPr>
          <w:t>@solactive.com</w:t>
        </w:r>
      </w:hyperlink>
      <w:r w:rsidRPr="000F0316">
        <w:rPr>
          <w:lang w:val="en-US"/>
        </w:rPr>
        <w:t>, specifying “</w:t>
      </w:r>
      <w:r w:rsidRPr="000F0316">
        <w:rPr>
          <w:b/>
          <w:bCs/>
          <w:lang w:val="en-US"/>
        </w:rPr>
        <w:t>Market Consultation</w:t>
      </w:r>
      <w:r w:rsidR="00686566">
        <w:rPr>
          <w:b/>
          <w:bCs/>
          <w:lang w:val="en-DE"/>
        </w:rPr>
        <w:t xml:space="preserve"> </w:t>
      </w:r>
      <w:r w:rsidR="00686566" w:rsidRPr="00C369DE">
        <w:rPr>
          <w:b/>
          <w:bCs/>
          <w:lang w:val="en-US"/>
        </w:rPr>
        <w:t>Solactive Cl</w:t>
      </w:r>
      <w:r w:rsidR="00686566" w:rsidRPr="00C369DE">
        <w:rPr>
          <w:b/>
          <w:bCs/>
          <w:lang w:val="en-DE"/>
        </w:rPr>
        <w:t>e</w:t>
      </w:r>
      <w:r w:rsidR="00686566" w:rsidRPr="00C369DE">
        <w:rPr>
          <w:b/>
          <w:bCs/>
          <w:lang w:val="en-US"/>
        </w:rPr>
        <w:t>an Energy Index</w:t>
      </w:r>
      <w:r w:rsidR="00686566">
        <w:rPr>
          <w:lang w:val="en-DE"/>
        </w:rPr>
        <w:t>”</w:t>
      </w:r>
      <w:r w:rsidR="00E51EBD" w:rsidRPr="00C369DE">
        <w:rPr>
          <w:b/>
          <w:bCs/>
          <w:lang w:val="en-US"/>
        </w:rPr>
        <w:t xml:space="preserve"> </w:t>
      </w:r>
      <w:r w:rsidRPr="00C04273">
        <w:rPr>
          <w:lang w:val="en-US"/>
        </w:rPr>
        <w:t xml:space="preserve">as the subject of the email, or </w:t>
      </w:r>
    </w:p>
    <w:p w14:paraId="6AB9F564" w14:textId="77777777" w:rsidR="005055F5" w:rsidRPr="00170AE4" w:rsidRDefault="005055F5" w:rsidP="005055F5">
      <w:pPr>
        <w:spacing w:after="0"/>
        <w:rPr>
          <w:lang w:val="it-IT"/>
        </w:rPr>
      </w:pPr>
      <w:r w:rsidRPr="00170AE4">
        <w:rPr>
          <w:lang w:val="it-IT"/>
        </w:rPr>
        <w:t>via postal mail to:</w:t>
      </w:r>
      <w:r w:rsidRPr="00170AE4">
        <w:rPr>
          <w:lang w:val="it-IT"/>
        </w:rPr>
        <w:tab/>
      </w:r>
      <w:r w:rsidRPr="00170AE4">
        <w:rPr>
          <w:b/>
          <w:bCs/>
          <w:lang w:val="it-IT"/>
        </w:rPr>
        <w:t>Solactive AG</w:t>
      </w:r>
    </w:p>
    <w:p w14:paraId="57CF10BE" w14:textId="63B5BF16" w:rsidR="003D0D25" w:rsidRDefault="003D0D25" w:rsidP="003D0D25">
      <w:pPr>
        <w:spacing w:after="0"/>
        <w:ind w:left="1416" w:firstLine="708"/>
      </w:pPr>
      <w:r>
        <w:t xml:space="preserve">Platz der Einheit 1 </w:t>
      </w:r>
    </w:p>
    <w:p w14:paraId="3DC233A6" w14:textId="6197A45A" w:rsidR="003D0D25" w:rsidRDefault="003D0D25" w:rsidP="003D0D25">
      <w:pPr>
        <w:spacing w:after="0"/>
        <w:ind w:left="1416" w:firstLine="708"/>
      </w:pPr>
      <w:r>
        <w:t xml:space="preserve">60327 Frankfurt am Main </w:t>
      </w:r>
    </w:p>
    <w:p w14:paraId="1FEC3B6F" w14:textId="4D5FF443" w:rsidR="005055F5" w:rsidRPr="00170AE4" w:rsidRDefault="003D0D25" w:rsidP="003D0D25">
      <w:pPr>
        <w:spacing w:after="0"/>
        <w:ind w:left="1416" w:firstLine="708"/>
        <w:rPr>
          <w:lang w:val="en-US"/>
        </w:rPr>
      </w:pPr>
      <w:r w:rsidRPr="00170AE4">
        <w:rPr>
          <w:lang w:val="en-US"/>
        </w:rPr>
        <w:t>Germany</w:t>
      </w:r>
    </w:p>
    <w:p w14:paraId="752A804F" w14:textId="7A894BF5" w:rsidR="00753C1C" w:rsidRPr="00170AE4" w:rsidRDefault="00753C1C" w:rsidP="003D0D25">
      <w:pPr>
        <w:spacing w:after="0"/>
        <w:ind w:left="1416" w:firstLine="708"/>
        <w:rPr>
          <w:lang w:val="en-US"/>
        </w:rPr>
      </w:pPr>
    </w:p>
    <w:p w14:paraId="6605CF27" w14:textId="77777777" w:rsidR="00753C1C" w:rsidRDefault="00753C1C" w:rsidP="00753C1C">
      <w:pPr>
        <w:spacing w:after="0"/>
        <w:rPr>
          <w:lang w:val="en-US"/>
        </w:rPr>
      </w:pPr>
      <w:r w:rsidRPr="00C04273">
        <w:rPr>
          <w:lang w:val="en-US"/>
        </w:rPr>
        <w:t>Should you have any additional questions regarding the consultative question in particular, please do not hesitate to contact us via above email address.</w:t>
      </w:r>
    </w:p>
    <w:p w14:paraId="0034008D" w14:textId="13CCFDF4" w:rsidR="00753C1C" w:rsidRPr="00170AE4" w:rsidRDefault="00753C1C" w:rsidP="003D0D25">
      <w:pPr>
        <w:spacing w:after="0"/>
        <w:ind w:left="1416" w:firstLine="708"/>
        <w:rPr>
          <w:lang w:val="en-US"/>
        </w:rPr>
      </w:pPr>
    </w:p>
    <w:p w14:paraId="110BD051" w14:textId="0ADAD553"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0"/>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787644C9"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8" w:name="_Toc526233456"/>
                            <w:r w:rsidRPr="008A06B6">
                              <w:rPr>
                                <w:color w:val="FFFFFF" w:themeColor="background1"/>
                                <w:sz w:val="60"/>
                                <w:szCs w:val="60"/>
                                <w:lang w:val="en-US" w:eastAsia="en-US"/>
                              </w:rPr>
                              <w:t>Contact</w:t>
                            </w:r>
                            <w:bookmarkEnd w:id="8"/>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r w:rsidR="000F0727">
                              <w:fldChar w:fldCharType="begin"/>
                            </w:r>
                            <w:r w:rsidR="000F0727" w:rsidRPr="00807AB3">
                              <w:rPr>
                                <w:lang w:val="en-US"/>
                              </w:rPr>
                              <w:instrText>HYPERLINK "mailto:info@solactive.com"</w:instrText>
                            </w:r>
                            <w:r w:rsidR="000F0727">
                              <w:fldChar w:fldCharType="separate"/>
                            </w:r>
                            <w:r w:rsidRPr="00186DB0">
                              <w:rPr>
                                <w:rStyle w:val="Hyperlink"/>
                                <w:color w:val="FFFFFF" w:themeColor="background1"/>
                                <w:lang w:val="en-US" w:eastAsia="en-US"/>
                              </w:rPr>
                              <w:t>info@solactive.com</w:t>
                            </w:r>
                            <w:r w:rsidR="000F0727">
                              <w:rPr>
                                <w:rStyle w:val="Hyperlink"/>
                                <w:color w:val="FFFFFF" w:themeColor="background1"/>
                                <w:lang w:val="en-US" w:eastAsia="en-US"/>
                              </w:rPr>
                              <w:fldChar w:fldCharType="end"/>
                            </w:r>
                            <w:r w:rsidRPr="00186DB0">
                              <w:rPr>
                                <w:color w:val="FFFFFF" w:themeColor="background1"/>
                                <w:lang w:val="en-US" w:eastAsia="en-US"/>
                              </w:rPr>
                              <w:t xml:space="preserve"> </w:t>
                            </w:r>
                          </w:p>
                          <w:p w14:paraId="6B537AAB" w14:textId="77777777" w:rsidR="00466905" w:rsidRPr="00807AB3" w:rsidRDefault="00466905" w:rsidP="00EE22E3">
                            <w:pPr>
                              <w:tabs>
                                <w:tab w:val="left" w:pos="993"/>
                              </w:tabs>
                              <w:contextualSpacing/>
                              <w:rPr>
                                <w:color w:val="FFFFFF" w:themeColor="background1"/>
                                <w:lang w:val="fr-FR" w:eastAsia="en-US"/>
                              </w:rPr>
                            </w:pPr>
                            <w:r w:rsidRPr="00807AB3">
                              <w:rPr>
                                <w:color w:val="FFFFFF" w:themeColor="background1"/>
                                <w:lang w:val="fr-FR" w:eastAsia="en-US"/>
                              </w:rPr>
                              <w:t>Website:</w:t>
                            </w:r>
                            <w:r w:rsidRPr="00807AB3">
                              <w:rPr>
                                <w:color w:val="FFFFFF" w:themeColor="background1"/>
                                <w:lang w:val="fr-FR" w:eastAsia="en-US"/>
                              </w:rPr>
                              <w:tab/>
                            </w:r>
                            <w:hyperlink r:id="rId15" w:history="1">
                              <w:r w:rsidRPr="00807AB3">
                                <w:rPr>
                                  <w:rStyle w:val="Hyperlink"/>
                                  <w:color w:val="FFFFFF" w:themeColor="background1"/>
                                  <w:lang w:val="fr-FR" w:eastAsia="en-US"/>
                                </w:rPr>
                                <w:t>www.solactive.com</w:t>
                              </w:r>
                            </w:hyperlink>
                            <w:r w:rsidRPr="00807AB3">
                              <w:rPr>
                                <w:color w:val="FFFFFF" w:themeColor="background1"/>
                                <w:lang w:val="fr-FR" w:eastAsia="en-US"/>
                              </w:rPr>
                              <w:t xml:space="preserve"> </w:t>
                            </w:r>
                          </w:p>
                          <w:p w14:paraId="7C95E775" w14:textId="77777777" w:rsidR="00466905" w:rsidRPr="00807AB3" w:rsidRDefault="00466905" w:rsidP="00EE22E3">
                            <w:pPr>
                              <w:tabs>
                                <w:tab w:val="left" w:pos="993"/>
                              </w:tabs>
                              <w:contextualSpacing/>
                              <w:rPr>
                                <w:color w:val="FFFFFF" w:themeColor="background1"/>
                                <w:lang w:val="fr-FR"/>
                              </w:rPr>
                            </w:pPr>
                          </w:p>
                          <w:p w14:paraId="1DDD5EBB" w14:textId="77777777" w:rsidR="00466905" w:rsidRPr="00170AE4" w:rsidRDefault="00466905" w:rsidP="00EE22E3">
                            <w:pPr>
                              <w:tabs>
                                <w:tab w:val="left" w:pos="993"/>
                              </w:tabs>
                              <w:contextualSpacing/>
                              <w:rPr>
                                <w:color w:val="FFFFFF" w:themeColor="background1"/>
                                <w:lang w:val="fr-FR"/>
                              </w:rPr>
                            </w:pPr>
                            <w:r w:rsidRPr="00170AE4">
                              <w:rPr>
                                <w:color w:val="FFFFFF" w:themeColor="background1"/>
                                <w:lang w:val="fr-FR"/>
                              </w:rPr>
                              <w:t>© Solactive AG</w:t>
                            </w:r>
                          </w:p>
                          <w:p w14:paraId="5087DCB6" w14:textId="77777777" w:rsidR="00466905" w:rsidRPr="00170AE4" w:rsidRDefault="00466905"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9" w:name="_Toc526233456"/>
                      <w:r w:rsidRPr="008A06B6">
                        <w:rPr>
                          <w:color w:val="FFFFFF" w:themeColor="background1"/>
                          <w:sz w:val="60"/>
                          <w:szCs w:val="60"/>
                          <w:lang w:val="en-US" w:eastAsia="en-US"/>
                        </w:rPr>
                        <w:t>Contact</w:t>
                      </w:r>
                      <w:bookmarkEnd w:id="9"/>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r w:rsidR="000F0727">
                        <w:fldChar w:fldCharType="begin"/>
                      </w:r>
                      <w:r w:rsidR="000F0727" w:rsidRPr="00807AB3">
                        <w:rPr>
                          <w:lang w:val="en-US"/>
                        </w:rPr>
                        <w:instrText>HYPERLINK "mailto:info@solactive.com"</w:instrText>
                      </w:r>
                      <w:r w:rsidR="000F0727">
                        <w:fldChar w:fldCharType="separate"/>
                      </w:r>
                      <w:r w:rsidRPr="00186DB0">
                        <w:rPr>
                          <w:rStyle w:val="Hyperlink"/>
                          <w:color w:val="FFFFFF" w:themeColor="background1"/>
                          <w:lang w:val="en-US" w:eastAsia="en-US"/>
                        </w:rPr>
                        <w:t>info@solactive.com</w:t>
                      </w:r>
                      <w:r w:rsidR="000F0727">
                        <w:rPr>
                          <w:rStyle w:val="Hyperlink"/>
                          <w:color w:val="FFFFFF" w:themeColor="background1"/>
                          <w:lang w:val="en-US" w:eastAsia="en-US"/>
                        </w:rPr>
                        <w:fldChar w:fldCharType="end"/>
                      </w:r>
                      <w:r w:rsidRPr="00186DB0">
                        <w:rPr>
                          <w:color w:val="FFFFFF" w:themeColor="background1"/>
                          <w:lang w:val="en-US" w:eastAsia="en-US"/>
                        </w:rPr>
                        <w:t xml:space="preserve"> </w:t>
                      </w:r>
                    </w:p>
                    <w:p w14:paraId="6B537AAB" w14:textId="77777777" w:rsidR="00466905" w:rsidRPr="00807AB3" w:rsidRDefault="00466905" w:rsidP="00EE22E3">
                      <w:pPr>
                        <w:tabs>
                          <w:tab w:val="left" w:pos="993"/>
                        </w:tabs>
                        <w:contextualSpacing/>
                        <w:rPr>
                          <w:color w:val="FFFFFF" w:themeColor="background1"/>
                          <w:lang w:val="fr-FR" w:eastAsia="en-US"/>
                        </w:rPr>
                      </w:pPr>
                      <w:r w:rsidRPr="00807AB3">
                        <w:rPr>
                          <w:color w:val="FFFFFF" w:themeColor="background1"/>
                          <w:lang w:val="fr-FR" w:eastAsia="en-US"/>
                        </w:rPr>
                        <w:t>Website:</w:t>
                      </w:r>
                      <w:r w:rsidRPr="00807AB3">
                        <w:rPr>
                          <w:color w:val="FFFFFF" w:themeColor="background1"/>
                          <w:lang w:val="fr-FR" w:eastAsia="en-US"/>
                        </w:rPr>
                        <w:tab/>
                      </w:r>
                      <w:hyperlink r:id="rId16" w:history="1">
                        <w:r w:rsidRPr="00807AB3">
                          <w:rPr>
                            <w:rStyle w:val="Hyperlink"/>
                            <w:color w:val="FFFFFF" w:themeColor="background1"/>
                            <w:lang w:val="fr-FR" w:eastAsia="en-US"/>
                          </w:rPr>
                          <w:t>www.solactive.com</w:t>
                        </w:r>
                      </w:hyperlink>
                      <w:r w:rsidRPr="00807AB3">
                        <w:rPr>
                          <w:color w:val="FFFFFF" w:themeColor="background1"/>
                          <w:lang w:val="fr-FR" w:eastAsia="en-US"/>
                        </w:rPr>
                        <w:t xml:space="preserve"> </w:t>
                      </w:r>
                    </w:p>
                    <w:p w14:paraId="7C95E775" w14:textId="77777777" w:rsidR="00466905" w:rsidRPr="00807AB3" w:rsidRDefault="00466905" w:rsidP="00EE22E3">
                      <w:pPr>
                        <w:tabs>
                          <w:tab w:val="left" w:pos="993"/>
                        </w:tabs>
                        <w:contextualSpacing/>
                        <w:rPr>
                          <w:color w:val="FFFFFF" w:themeColor="background1"/>
                          <w:lang w:val="fr-FR"/>
                        </w:rPr>
                      </w:pPr>
                    </w:p>
                    <w:p w14:paraId="1DDD5EBB" w14:textId="77777777" w:rsidR="00466905" w:rsidRPr="00170AE4" w:rsidRDefault="00466905" w:rsidP="00EE22E3">
                      <w:pPr>
                        <w:tabs>
                          <w:tab w:val="left" w:pos="993"/>
                        </w:tabs>
                        <w:contextualSpacing/>
                        <w:rPr>
                          <w:color w:val="FFFFFF" w:themeColor="background1"/>
                          <w:lang w:val="fr-FR"/>
                        </w:rPr>
                      </w:pPr>
                      <w:r w:rsidRPr="00170AE4">
                        <w:rPr>
                          <w:color w:val="FFFFFF" w:themeColor="background1"/>
                          <w:lang w:val="fr-FR"/>
                        </w:rPr>
                        <w:t>© Solactive AG</w:t>
                      </w:r>
                    </w:p>
                    <w:p w14:paraId="5087DCB6" w14:textId="77777777" w:rsidR="00466905" w:rsidRPr="00170AE4" w:rsidRDefault="00466905" w:rsidP="00EE22E3">
                      <w:pPr>
                        <w:rPr>
                          <w:color w:val="FFFFFF" w:themeColor="background1"/>
                          <w:lang w:val="fr-FR"/>
                        </w:rPr>
                      </w:pPr>
                    </w:p>
                  </w:txbxContent>
                </v:textbox>
                <w10:wrap anchorx="margin" anchory="page"/>
              </v:shape>
            </w:pict>
          </mc:Fallback>
        </mc:AlternateContent>
      </w:r>
    </w:p>
    <w:sectPr w:rsidR="00572562" w:rsidRPr="00572562" w:rsidSect="00475079">
      <w:headerReference w:type="even" r:id="rId17"/>
      <w:headerReference w:type="default" r:id="rId18"/>
      <w:footerReference w:type="even" r:id="rId19"/>
      <w:footerReference w:type="default" r:id="rId20"/>
      <w:headerReference w:type="first" r:id="rId21"/>
      <w:footerReference w:type="first" r:id="rId22"/>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0113FCA-717C-4D96-AF02-BA22F717302D}"/>
  </w:font>
  <w:font w:name="Flama Semicondensed Light">
    <w:altName w:val="Calibri"/>
    <w:panose1 w:val="02000000000000000000"/>
    <w:charset w:val="00"/>
    <w:family w:val="auto"/>
    <w:pitch w:val="variable"/>
    <w:sig w:usb0="A00000AF" w:usb1="4000207B" w:usb2="00000000" w:usb3="00000000" w:csb0="0000008B" w:csb1="00000000"/>
    <w:embedRegular r:id="rId2" w:fontKey="{3D174033-6F02-443F-9444-CC13B4CDE956}"/>
    <w:embedBold r:id="rId3" w:fontKey="{6235AC66-F377-46E4-8979-1340D7686BCA}"/>
    <w:embedItalic r:id="rId4" w:fontKey="{0BA95E1D-3526-41AD-BD3A-38BEDD98D1F0}"/>
  </w:font>
  <w:font w:name="Segoe UI">
    <w:panose1 w:val="020B0502040204020203"/>
    <w:charset w:val="00"/>
    <w:family w:val="swiss"/>
    <w:pitch w:val="variable"/>
    <w:sig w:usb0="E4002EFF" w:usb1="C000E47F" w:usb2="00000009" w:usb3="00000000" w:csb0="000001FF" w:csb1="00000000"/>
    <w:embedRegular r:id="rId5" w:fontKey="{D0D9B44A-B58A-41D9-A927-46462F82F03E}"/>
  </w:font>
  <w:font w:name="Flama Semicondensed Medium">
    <w:altName w:val="Calibri"/>
    <w:panose1 w:val="02000000000000000000"/>
    <w:charset w:val="00"/>
    <w:family w:val="auto"/>
    <w:pitch w:val="variable"/>
    <w:sig w:usb0="A00000AF" w:usb1="4000207B" w:usb2="00000000" w:usb3="00000000" w:csb0="0000008B" w:csb1="00000000"/>
    <w:embedRegular r:id="rId6" w:fontKey="{F9103608-DF76-4667-BC92-D33AD428C682}"/>
    <w:embedBold r:id="rId7" w:fontKey="{8EA0B1F1-461C-4832-A13F-3710FF683D1D}"/>
  </w:font>
  <w:font w:name="Cambria Math">
    <w:panose1 w:val="02040503050406030204"/>
    <w:charset w:val="00"/>
    <w:family w:val="roman"/>
    <w:pitch w:val="variable"/>
    <w:sig w:usb0="E00006FF" w:usb1="420024FF" w:usb2="02000000" w:usb3="00000000" w:csb0="0000019F" w:csb1="00000000"/>
    <w:embedItalic r:id="rId8" w:fontKey="{42DDD9B2-A41F-4A0F-B8D8-D19282EEDB8D}"/>
  </w:font>
  <w:font w:name="Calibri Light">
    <w:panose1 w:val="020F0302020204030204"/>
    <w:charset w:val="00"/>
    <w:family w:val="swiss"/>
    <w:pitch w:val="variable"/>
    <w:sig w:usb0="E4002EFF" w:usb1="C000247B" w:usb2="00000009" w:usb3="00000000" w:csb0="000001FF" w:csb1="00000000"/>
    <w:embedRegular r:id="rId9" w:fontKey="{03B3752D-EE53-4EFE-97FC-3365E30764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5D9C" w14:textId="07214030"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E51EBD">
          <w:rPr>
            <w:lang w:val="en-US"/>
          </w:rPr>
          <w:t>Market Consultation Solactive Clean Energy index</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80" type="#_x0000_t75" style="width:25.9pt;height:19.9pt" o:bullet="t">
        <v:imagedata r:id="rId1" o:title="S_Icons-Haken_02"/>
      </v:shape>
    </w:pict>
  </w:numPicBullet>
  <w:numPicBullet w:numPicBulletId="1">
    <w:pict>
      <v:shape id="_x0000_i2281" type="#_x0000_t75" style="width:19.9pt;height:19.9pt" o:bullet="t">
        <v:imagedata r:id="rId2" o:title="S_Icons-Pfeil_02"/>
      </v:shape>
    </w:pict>
  </w:numPicBullet>
  <w:numPicBullet w:numPicBulletId="2">
    <w:pict>
      <v:shape id="_x0000_i2282" type="#_x0000_t75" style="width:15.35pt;height:15.85pt" o:bullet="t">
        <v:imagedata r:id="rId3" o:title="Bullet_2_Indices_Small"/>
      </v:shape>
    </w:pict>
  </w:numPicBullet>
  <w:numPicBullet w:numPicBulletId="3">
    <w:pict>
      <v:shape id="_x0000_i2283"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37D04B5"/>
    <w:multiLevelType w:val="multilevel"/>
    <w:tmpl w:val="EC4E23FC"/>
    <w:numStyleLink w:val="Style1"/>
  </w:abstractNum>
  <w:abstractNum w:abstractNumId="2"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873B2F"/>
    <w:multiLevelType w:val="hybridMultilevel"/>
    <w:tmpl w:val="3A289060"/>
    <w:lvl w:ilvl="0" w:tplc="3DDA58C0">
      <w:start w:val="4"/>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222E6AFB"/>
    <w:multiLevelType w:val="hybridMultilevel"/>
    <w:tmpl w:val="8EC239AC"/>
    <w:lvl w:ilvl="0" w:tplc="66F67088">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35A5C73"/>
    <w:multiLevelType w:val="multilevel"/>
    <w:tmpl w:val="EC4E23FC"/>
    <w:styleLink w:val="Style1"/>
    <w:lvl w:ilvl="0">
      <w:start w:val="1"/>
      <w:numFmt w:val="decimal"/>
      <w:lvlText w:val="%1."/>
      <w:lvlJc w:val="left"/>
      <w:pPr>
        <w:ind w:left="1065" w:hanging="705"/>
      </w:pPr>
    </w:lvl>
    <w:lvl w:ilvl="1">
      <w:start w:val="1"/>
      <w:numFmt w:val="upp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2437090"/>
    <w:multiLevelType w:val="hybridMultilevel"/>
    <w:tmpl w:val="3C560C78"/>
    <w:lvl w:ilvl="0" w:tplc="20000001">
      <w:start w:val="1"/>
      <w:numFmt w:val="bullet"/>
      <w:lvlText w:val=""/>
      <w:lvlJc w:val="left"/>
      <w:pPr>
        <w:ind w:left="763" w:hanging="360"/>
      </w:pPr>
      <w:rPr>
        <w:rFonts w:ascii="Symbol" w:hAnsi="Symbol" w:hint="default"/>
      </w:rPr>
    </w:lvl>
    <w:lvl w:ilvl="1" w:tplc="20000003" w:tentative="1">
      <w:start w:val="1"/>
      <w:numFmt w:val="bullet"/>
      <w:lvlText w:val="o"/>
      <w:lvlJc w:val="left"/>
      <w:pPr>
        <w:ind w:left="1483" w:hanging="360"/>
      </w:pPr>
      <w:rPr>
        <w:rFonts w:ascii="Courier New" w:hAnsi="Courier New" w:cs="Courier New" w:hint="default"/>
      </w:rPr>
    </w:lvl>
    <w:lvl w:ilvl="2" w:tplc="20000005" w:tentative="1">
      <w:start w:val="1"/>
      <w:numFmt w:val="bullet"/>
      <w:lvlText w:val=""/>
      <w:lvlJc w:val="left"/>
      <w:pPr>
        <w:ind w:left="2203" w:hanging="360"/>
      </w:pPr>
      <w:rPr>
        <w:rFonts w:ascii="Wingdings" w:hAnsi="Wingdings" w:hint="default"/>
      </w:rPr>
    </w:lvl>
    <w:lvl w:ilvl="3" w:tplc="20000001" w:tentative="1">
      <w:start w:val="1"/>
      <w:numFmt w:val="bullet"/>
      <w:lvlText w:val=""/>
      <w:lvlJc w:val="left"/>
      <w:pPr>
        <w:ind w:left="2923" w:hanging="360"/>
      </w:pPr>
      <w:rPr>
        <w:rFonts w:ascii="Symbol" w:hAnsi="Symbol" w:hint="default"/>
      </w:rPr>
    </w:lvl>
    <w:lvl w:ilvl="4" w:tplc="20000003" w:tentative="1">
      <w:start w:val="1"/>
      <w:numFmt w:val="bullet"/>
      <w:lvlText w:val="o"/>
      <w:lvlJc w:val="left"/>
      <w:pPr>
        <w:ind w:left="3643" w:hanging="360"/>
      </w:pPr>
      <w:rPr>
        <w:rFonts w:ascii="Courier New" w:hAnsi="Courier New" w:cs="Courier New" w:hint="default"/>
      </w:rPr>
    </w:lvl>
    <w:lvl w:ilvl="5" w:tplc="20000005" w:tentative="1">
      <w:start w:val="1"/>
      <w:numFmt w:val="bullet"/>
      <w:lvlText w:val=""/>
      <w:lvlJc w:val="left"/>
      <w:pPr>
        <w:ind w:left="4363" w:hanging="360"/>
      </w:pPr>
      <w:rPr>
        <w:rFonts w:ascii="Wingdings" w:hAnsi="Wingdings" w:hint="default"/>
      </w:rPr>
    </w:lvl>
    <w:lvl w:ilvl="6" w:tplc="20000001" w:tentative="1">
      <w:start w:val="1"/>
      <w:numFmt w:val="bullet"/>
      <w:lvlText w:val=""/>
      <w:lvlJc w:val="left"/>
      <w:pPr>
        <w:ind w:left="5083" w:hanging="360"/>
      </w:pPr>
      <w:rPr>
        <w:rFonts w:ascii="Symbol" w:hAnsi="Symbol" w:hint="default"/>
      </w:rPr>
    </w:lvl>
    <w:lvl w:ilvl="7" w:tplc="20000003" w:tentative="1">
      <w:start w:val="1"/>
      <w:numFmt w:val="bullet"/>
      <w:lvlText w:val="o"/>
      <w:lvlJc w:val="left"/>
      <w:pPr>
        <w:ind w:left="5803" w:hanging="360"/>
      </w:pPr>
      <w:rPr>
        <w:rFonts w:ascii="Courier New" w:hAnsi="Courier New" w:cs="Courier New" w:hint="default"/>
      </w:rPr>
    </w:lvl>
    <w:lvl w:ilvl="8" w:tplc="20000005" w:tentative="1">
      <w:start w:val="1"/>
      <w:numFmt w:val="bullet"/>
      <w:lvlText w:val=""/>
      <w:lvlJc w:val="left"/>
      <w:pPr>
        <w:ind w:left="6523" w:hanging="360"/>
      </w:pPr>
      <w:rPr>
        <w:rFonts w:ascii="Wingdings" w:hAnsi="Wingdings" w:hint="default"/>
      </w:rPr>
    </w:lvl>
  </w:abstractNum>
  <w:abstractNum w:abstractNumId="11"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78A56C1"/>
    <w:multiLevelType w:val="hybridMultilevel"/>
    <w:tmpl w:val="4FC25DCE"/>
    <w:lvl w:ilvl="0" w:tplc="C130F88A">
      <w:start w:val="4"/>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53291DFF"/>
    <w:multiLevelType w:val="multilevel"/>
    <w:tmpl w:val="EC4E23FC"/>
    <w:lvl w:ilvl="0">
      <w:start w:val="1"/>
      <w:numFmt w:val="decimal"/>
      <w:lvlText w:val="%1."/>
      <w:lvlJc w:val="left"/>
      <w:pPr>
        <w:ind w:left="1065" w:hanging="705"/>
      </w:pPr>
    </w:lvl>
    <w:lvl w:ilvl="1">
      <w:start w:val="1"/>
      <w:numFmt w:val="upp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8A212BE"/>
    <w:multiLevelType w:val="hybridMultilevel"/>
    <w:tmpl w:val="4F6409A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6"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A2D73E4"/>
    <w:multiLevelType w:val="hybridMultilevel"/>
    <w:tmpl w:val="794CF24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69503508">
    <w:abstractNumId w:val="7"/>
  </w:num>
  <w:num w:numId="2" w16cid:durableId="586378007">
    <w:abstractNumId w:val="11"/>
  </w:num>
  <w:num w:numId="3" w16cid:durableId="1183864879">
    <w:abstractNumId w:val="23"/>
  </w:num>
  <w:num w:numId="4" w16cid:durableId="37898274">
    <w:abstractNumId w:val="28"/>
  </w:num>
  <w:num w:numId="5" w16cid:durableId="1372145211">
    <w:abstractNumId w:val="22"/>
  </w:num>
  <w:num w:numId="6" w16cid:durableId="1345128339">
    <w:abstractNumId w:val="13"/>
  </w:num>
  <w:num w:numId="7" w16cid:durableId="2087802747">
    <w:abstractNumId w:val="26"/>
  </w:num>
  <w:num w:numId="8" w16cid:durableId="1455908730">
    <w:abstractNumId w:val="5"/>
  </w:num>
  <w:num w:numId="9" w16cid:durableId="1831749676">
    <w:abstractNumId w:val="18"/>
  </w:num>
  <w:num w:numId="10" w16cid:durableId="1252549502">
    <w:abstractNumId w:val="17"/>
  </w:num>
  <w:num w:numId="11" w16cid:durableId="1124230705">
    <w:abstractNumId w:val="4"/>
  </w:num>
  <w:num w:numId="12" w16cid:durableId="585575823">
    <w:abstractNumId w:val="2"/>
  </w:num>
  <w:num w:numId="13" w16cid:durableId="501556038">
    <w:abstractNumId w:val="19"/>
  </w:num>
  <w:num w:numId="14" w16cid:durableId="1645622743">
    <w:abstractNumId w:val="15"/>
  </w:num>
  <w:num w:numId="15" w16cid:durableId="2044404929">
    <w:abstractNumId w:val="6"/>
  </w:num>
  <w:num w:numId="16" w16cid:durableId="245194574">
    <w:abstractNumId w:val="16"/>
  </w:num>
  <w:num w:numId="17" w16cid:durableId="1315380533">
    <w:abstractNumId w:val="29"/>
  </w:num>
  <w:num w:numId="18" w16cid:durableId="1165319184">
    <w:abstractNumId w:val="14"/>
  </w:num>
  <w:num w:numId="19" w16cid:durableId="296835226">
    <w:abstractNumId w:val="24"/>
  </w:num>
  <w:num w:numId="20" w16cid:durableId="850606366">
    <w:abstractNumId w:val="25"/>
  </w:num>
  <w:num w:numId="21" w16cid:durableId="543903297">
    <w:abstractNumId w:val="0"/>
  </w:num>
  <w:num w:numId="22" w16cid:durableId="1665939073">
    <w:abstractNumId w:val="9"/>
  </w:num>
  <w:num w:numId="23" w16cid:durableId="883517787">
    <w:abstractNumId w:val="1"/>
  </w:num>
  <w:num w:numId="24" w16cid:durableId="2014986684">
    <w:abstractNumId w:val="8"/>
  </w:num>
  <w:num w:numId="25" w16cid:durableId="1821146324">
    <w:abstractNumId w:val="21"/>
  </w:num>
  <w:num w:numId="26" w16cid:durableId="2116708353">
    <w:abstractNumId w:val="10"/>
  </w:num>
  <w:num w:numId="27" w16cid:durableId="749884350">
    <w:abstractNumId w:val="27"/>
  </w:num>
  <w:num w:numId="28" w16cid:durableId="1834687932">
    <w:abstractNumId w:val="12"/>
  </w:num>
  <w:num w:numId="29" w16cid:durableId="2071268979">
    <w:abstractNumId w:val="20"/>
  </w:num>
  <w:num w:numId="30" w16cid:durableId="14324322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4B4E"/>
    <w:rsid w:val="00045723"/>
    <w:rsid w:val="00050A4F"/>
    <w:rsid w:val="00052803"/>
    <w:rsid w:val="0006401A"/>
    <w:rsid w:val="000658A8"/>
    <w:rsid w:val="00066898"/>
    <w:rsid w:val="00077C61"/>
    <w:rsid w:val="00080F81"/>
    <w:rsid w:val="000849B9"/>
    <w:rsid w:val="000852F2"/>
    <w:rsid w:val="00085BB3"/>
    <w:rsid w:val="00087194"/>
    <w:rsid w:val="00087BAF"/>
    <w:rsid w:val="000916F7"/>
    <w:rsid w:val="00092BB7"/>
    <w:rsid w:val="0009534D"/>
    <w:rsid w:val="000A128C"/>
    <w:rsid w:val="000A7946"/>
    <w:rsid w:val="000B39FC"/>
    <w:rsid w:val="000B461C"/>
    <w:rsid w:val="000C0EBA"/>
    <w:rsid w:val="000C5F8E"/>
    <w:rsid w:val="000D0FF1"/>
    <w:rsid w:val="000D59D5"/>
    <w:rsid w:val="000E3D03"/>
    <w:rsid w:val="000F0316"/>
    <w:rsid w:val="000F0727"/>
    <w:rsid w:val="000F3DF3"/>
    <w:rsid w:val="0010358C"/>
    <w:rsid w:val="00110CA0"/>
    <w:rsid w:val="00113086"/>
    <w:rsid w:val="00123CB9"/>
    <w:rsid w:val="00124B71"/>
    <w:rsid w:val="00133435"/>
    <w:rsid w:val="00135E34"/>
    <w:rsid w:val="00140C19"/>
    <w:rsid w:val="00151DD8"/>
    <w:rsid w:val="00170AE4"/>
    <w:rsid w:val="00185395"/>
    <w:rsid w:val="001913FD"/>
    <w:rsid w:val="00192032"/>
    <w:rsid w:val="0019287D"/>
    <w:rsid w:val="00196409"/>
    <w:rsid w:val="00196791"/>
    <w:rsid w:val="001B7CED"/>
    <w:rsid w:val="001C7018"/>
    <w:rsid w:val="001D0ECC"/>
    <w:rsid w:val="001D6895"/>
    <w:rsid w:val="001E39F8"/>
    <w:rsid w:val="001E7A70"/>
    <w:rsid w:val="001F1AAE"/>
    <w:rsid w:val="001F784A"/>
    <w:rsid w:val="001F7F10"/>
    <w:rsid w:val="00207A3C"/>
    <w:rsid w:val="002127D7"/>
    <w:rsid w:val="00216B32"/>
    <w:rsid w:val="00223777"/>
    <w:rsid w:val="0022476E"/>
    <w:rsid w:val="00226816"/>
    <w:rsid w:val="00233B75"/>
    <w:rsid w:val="002370C6"/>
    <w:rsid w:val="00252BDE"/>
    <w:rsid w:val="00252DAF"/>
    <w:rsid w:val="0026131F"/>
    <w:rsid w:val="0026500B"/>
    <w:rsid w:val="00265B34"/>
    <w:rsid w:val="002663E0"/>
    <w:rsid w:val="00277D7B"/>
    <w:rsid w:val="0028575D"/>
    <w:rsid w:val="00291586"/>
    <w:rsid w:val="0029232A"/>
    <w:rsid w:val="002A32BB"/>
    <w:rsid w:val="002C0C0A"/>
    <w:rsid w:val="002C3DF7"/>
    <w:rsid w:val="002C65A0"/>
    <w:rsid w:val="002D5D39"/>
    <w:rsid w:val="002E70FC"/>
    <w:rsid w:val="002F293C"/>
    <w:rsid w:val="003012BC"/>
    <w:rsid w:val="0031521F"/>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C16C2"/>
    <w:rsid w:val="003C5B49"/>
    <w:rsid w:val="003D0D25"/>
    <w:rsid w:val="003D0F21"/>
    <w:rsid w:val="003E3204"/>
    <w:rsid w:val="003F570C"/>
    <w:rsid w:val="0040784E"/>
    <w:rsid w:val="00420C1C"/>
    <w:rsid w:val="0043684B"/>
    <w:rsid w:val="00442BD6"/>
    <w:rsid w:val="00447C88"/>
    <w:rsid w:val="00447DC5"/>
    <w:rsid w:val="00450A81"/>
    <w:rsid w:val="004538B8"/>
    <w:rsid w:val="00456B65"/>
    <w:rsid w:val="00461F41"/>
    <w:rsid w:val="00466905"/>
    <w:rsid w:val="00471895"/>
    <w:rsid w:val="00475079"/>
    <w:rsid w:val="004819FA"/>
    <w:rsid w:val="00490CA4"/>
    <w:rsid w:val="004A428F"/>
    <w:rsid w:val="004B4769"/>
    <w:rsid w:val="004B6674"/>
    <w:rsid w:val="004B6903"/>
    <w:rsid w:val="004C2B70"/>
    <w:rsid w:val="004C688A"/>
    <w:rsid w:val="004D16D5"/>
    <w:rsid w:val="004D6535"/>
    <w:rsid w:val="00500D79"/>
    <w:rsid w:val="005055F5"/>
    <w:rsid w:val="00507DB2"/>
    <w:rsid w:val="00532F22"/>
    <w:rsid w:val="00534514"/>
    <w:rsid w:val="0054438C"/>
    <w:rsid w:val="005457DD"/>
    <w:rsid w:val="005552A0"/>
    <w:rsid w:val="00572562"/>
    <w:rsid w:val="005818C8"/>
    <w:rsid w:val="00591607"/>
    <w:rsid w:val="00592EE3"/>
    <w:rsid w:val="005A0058"/>
    <w:rsid w:val="005A2BE7"/>
    <w:rsid w:val="005A6736"/>
    <w:rsid w:val="005B5236"/>
    <w:rsid w:val="005C08AA"/>
    <w:rsid w:val="005C210C"/>
    <w:rsid w:val="005C5410"/>
    <w:rsid w:val="005E2B50"/>
    <w:rsid w:val="005E4A46"/>
    <w:rsid w:val="005E61B4"/>
    <w:rsid w:val="00621EE1"/>
    <w:rsid w:val="00626C9C"/>
    <w:rsid w:val="0063017D"/>
    <w:rsid w:val="00631951"/>
    <w:rsid w:val="00632135"/>
    <w:rsid w:val="0063592D"/>
    <w:rsid w:val="00650433"/>
    <w:rsid w:val="00651886"/>
    <w:rsid w:val="00651D91"/>
    <w:rsid w:val="00656E53"/>
    <w:rsid w:val="0065775A"/>
    <w:rsid w:val="006837AE"/>
    <w:rsid w:val="00686566"/>
    <w:rsid w:val="00687F0D"/>
    <w:rsid w:val="0069329B"/>
    <w:rsid w:val="00694010"/>
    <w:rsid w:val="00695080"/>
    <w:rsid w:val="006954CA"/>
    <w:rsid w:val="006A0793"/>
    <w:rsid w:val="006C091C"/>
    <w:rsid w:val="006C2A33"/>
    <w:rsid w:val="006C3E4C"/>
    <w:rsid w:val="006C5EE2"/>
    <w:rsid w:val="006D163F"/>
    <w:rsid w:val="006E0DEB"/>
    <w:rsid w:val="006F11E8"/>
    <w:rsid w:val="006F1D5D"/>
    <w:rsid w:val="006F54CB"/>
    <w:rsid w:val="007063F4"/>
    <w:rsid w:val="00714664"/>
    <w:rsid w:val="00723574"/>
    <w:rsid w:val="0073537F"/>
    <w:rsid w:val="007357DE"/>
    <w:rsid w:val="00736C70"/>
    <w:rsid w:val="007372FA"/>
    <w:rsid w:val="00746268"/>
    <w:rsid w:val="00750A5D"/>
    <w:rsid w:val="00753112"/>
    <w:rsid w:val="00753C1C"/>
    <w:rsid w:val="00770E36"/>
    <w:rsid w:val="007822BB"/>
    <w:rsid w:val="00783C68"/>
    <w:rsid w:val="0078490A"/>
    <w:rsid w:val="007913A0"/>
    <w:rsid w:val="007B77D1"/>
    <w:rsid w:val="007C263C"/>
    <w:rsid w:val="007C26BC"/>
    <w:rsid w:val="007D1364"/>
    <w:rsid w:val="007D2A93"/>
    <w:rsid w:val="007D4AB3"/>
    <w:rsid w:val="007E035C"/>
    <w:rsid w:val="007E0474"/>
    <w:rsid w:val="007E0ACA"/>
    <w:rsid w:val="007E47D4"/>
    <w:rsid w:val="00803EE8"/>
    <w:rsid w:val="00807AB3"/>
    <w:rsid w:val="00810B5C"/>
    <w:rsid w:val="00823F62"/>
    <w:rsid w:val="00830616"/>
    <w:rsid w:val="008345B7"/>
    <w:rsid w:val="00835E3C"/>
    <w:rsid w:val="00851638"/>
    <w:rsid w:val="00851CF4"/>
    <w:rsid w:val="00852511"/>
    <w:rsid w:val="00874E3E"/>
    <w:rsid w:val="00875EDB"/>
    <w:rsid w:val="00880689"/>
    <w:rsid w:val="0089032B"/>
    <w:rsid w:val="00895A4B"/>
    <w:rsid w:val="008A06B6"/>
    <w:rsid w:val="008A2685"/>
    <w:rsid w:val="008A6406"/>
    <w:rsid w:val="008A6AA1"/>
    <w:rsid w:val="008B3505"/>
    <w:rsid w:val="008C3106"/>
    <w:rsid w:val="008C5730"/>
    <w:rsid w:val="008D13A0"/>
    <w:rsid w:val="008D19A9"/>
    <w:rsid w:val="008D32E3"/>
    <w:rsid w:val="008D7A68"/>
    <w:rsid w:val="008E0EE0"/>
    <w:rsid w:val="008E4BEE"/>
    <w:rsid w:val="008F59D5"/>
    <w:rsid w:val="009133CD"/>
    <w:rsid w:val="00914DC6"/>
    <w:rsid w:val="0092193A"/>
    <w:rsid w:val="009224D5"/>
    <w:rsid w:val="00927618"/>
    <w:rsid w:val="0093363F"/>
    <w:rsid w:val="009369D6"/>
    <w:rsid w:val="00960D2A"/>
    <w:rsid w:val="00970C26"/>
    <w:rsid w:val="0097651D"/>
    <w:rsid w:val="00983D90"/>
    <w:rsid w:val="00985801"/>
    <w:rsid w:val="0099430F"/>
    <w:rsid w:val="00995D4A"/>
    <w:rsid w:val="009A2432"/>
    <w:rsid w:val="009A27F6"/>
    <w:rsid w:val="009A4F6D"/>
    <w:rsid w:val="009B45ED"/>
    <w:rsid w:val="009B7449"/>
    <w:rsid w:val="009C16F9"/>
    <w:rsid w:val="009C5F0F"/>
    <w:rsid w:val="009C62E7"/>
    <w:rsid w:val="009D2EF7"/>
    <w:rsid w:val="009F51A9"/>
    <w:rsid w:val="009F6C35"/>
    <w:rsid w:val="00A2430F"/>
    <w:rsid w:val="00A255BA"/>
    <w:rsid w:val="00A3779F"/>
    <w:rsid w:val="00A41317"/>
    <w:rsid w:val="00A413D8"/>
    <w:rsid w:val="00A64163"/>
    <w:rsid w:val="00A65C78"/>
    <w:rsid w:val="00A74BB3"/>
    <w:rsid w:val="00A8219E"/>
    <w:rsid w:val="00A94468"/>
    <w:rsid w:val="00A97E61"/>
    <w:rsid w:val="00AB6B57"/>
    <w:rsid w:val="00AC0BF4"/>
    <w:rsid w:val="00AD1AED"/>
    <w:rsid w:val="00AF0FFD"/>
    <w:rsid w:val="00AF46AF"/>
    <w:rsid w:val="00AF7381"/>
    <w:rsid w:val="00B01B34"/>
    <w:rsid w:val="00B04ABF"/>
    <w:rsid w:val="00B1629F"/>
    <w:rsid w:val="00B210BC"/>
    <w:rsid w:val="00B302B4"/>
    <w:rsid w:val="00B4233B"/>
    <w:rsid w:val="00B4681A"/>
    <w:rsid w:val="00B5343D"/>
    <w:rsid w:val="00B61371"/>
    <w:rsid w:val="00B6689F"/>
    <w:rsid w:val="00B75032"/>
    <w:rsid w:val="00B84D86"/>
    <w:rsid w:val="00B915B6"/>
    <w:rsid w:val="00B9177C"/>
    <w:rsid w:val="00B94CC1"/>
    <w:rsid w:val="00BA23D9"/>
    <w:rsid w:val="00BA3FA5"/>
    <w:rsid w:val="00BB1CFA"/>
    <w:rsid w:val="00BB38FB"/>
    <w:rsid w:val="00BB7BCB"/>
    <w:rsid w:val="00BC609D"/>
    <w:rsid w:val="00BD4042"/>
    <w:rsid w:val="00BE7D66"/>
    <w:rsid w:val="00C0189C"/>
    <w:rsid w:val="00C03D31"/>
    <w:rsid w:val="00C04273"/>
    <w:rsid w:val="00C22CA0"/>
    <w:rsid w:val="00C24716"/>
    <w:rsid w:val="00C30238"/>
    <w:rsid w:val="00C302E5"/>
    <w:rsid w:val="00C32515"/>
    <w:rsid w:val="00C328C2"/>
    <w:rsid w:val="00C369DE"/>
    <w:rsid w:val="00C4722A"/>
    <w:rsid w:val="00C676D8"/>
    <w:rsid w:val="00C750BC"/>
    <w:rsid w:val="00C77505"/>
    <w:rsid w:val="00C77B4F"/>
    <w:rsid w:val="00C84ED8"/>
    <w:rsid w:val="00CA595E"/>
    <w:rsid w:val="00CC4A71"/>
    <w:rsid w:val="00CD41EB"/>
    <w:rsid w:val="00CD7B75"/>
    <w:rsid w:val="00CF29CC"/>
    <w:rsid w:val="00D06709"/>
    <w:rsid w:val="00D06800"/>
    <w:rsid w:val="00D06D8B"/>
    <w:rsid w:val="00D30535"/>
    <w:rsid w:val="00D55031"/>
    <w:rsid w:val="00D620C6"/>
    <w:rsid w:val="00D7148C"/>
    <w:rsid w:val="00D72633"/>
    <w:rsid w:val="00D727B4"/>
    <w:rsid w:val="00D76406"/>
    <w:rsid w:val="00D916A7"/>
    <w:rsid w:val="00D94020"/>
    <w:rsid w:val="00D9404B"/>
    <w:rsid w:val="00D9688B"/>
    <w:rsid w:val="00DA2F85"/>
    <w:rsid w:val="00DA3CF4"/>
    <w:rsid w:val="00DB29BB"/>
    <w:rsid w:val="00DB7CE4"/>
    <w:rsid w:val="00DC4F24"/>
    <w:rsid w:val="00DD3C44"/>
    <w:rsid w:val="00DE21FE"/>
    <w:rsid w:val="00DE29BE"/>
    <w:rsid w:val="00DE7F6A"/>
    <w:rsid w:val="00DF306F"/>
    <w:rsid w:val="00E05994"/>
    <w:rsid w:val="00E06A59"/>
    <w:rsid w:val="00E072E6"/>
    <w:rsid w:val="00E22C03"/>
    <w:rsid w:val="00E35FA1"/>
    <w:rsid w:val="00E43678"/>
    <w:rsid w:val="00E51EBD"/>
    <w:rsid w:val="00E530BC"/>
    <w:rsid w:val="00E55AA7"/>
    <w:rsid w:val="00E738F4"/>
    <w:rsid w:val="00E75C53"/>
    <w:rsid w:val="00E85D18"/>
    <w:rsid w:val="00E87285"/>
    <w:rsid w:val="00E9274E"/>
    <w:rsid w:val="00E93591"/>
    <w:rsid w:val="00E95DEA"/>
    <w:rsid w:val="00EA23FA"/>
    <w:rsid w:val="00EA4B8A"/>
    <w:rsid w:val="00EC2BCA"/>
    <w:rsid w:val="00ED0760"/>
    <w:rsid w:val="00EE22E3"/>
    <w:rsid w:val="00EF4A17"/>
    <w:rsid w:val="00F0488B"/>
    <w:rsid w:val="00F1145C"/>
    <w:rsid w:val="00F11F52"/>
    <w:rsid w:val="00F25F45"/>
    <w:rsid w:val="00F4098B"/>
    <w:rsid w:val="00F51148"/>
    <w:rsid w:val="00F568D6"/>
    <w:rsid w:val="00F67BDD"/>
    <w:rsid w:val="00F7153E"/>
    <w:rsid w:val="00F75FFF"/>
    <w:rsid w:val="00F77D37"/>
    <w:rsid w:val="00F8097C"/>
    <w:rsid w:val="00F863D9"/>
    <w:rsid w:val="00F916F3"/>
    <w:rsid w:val="00F92614"/>
    <w:rsid w:val="00F948C6"/>
    <w:rsid w:val="00F964E4"/>
    <w:rsid w:val="00F97AFE"/>
    <w:rsid w:val="00FB1C0D"/>
    <w:rsid w:val="00FB75BF"/>
    <w:rsid w:val="00FC4A10"/>
    <w:rsid w:val="00FD7F58"/>
    <w:rsid w:val="00FE044A"/>
    <w:rsid w:val="00FE3959"/>
    <w:rsid w:val="00FF3940"/>
    <w:rsid w:val="00FF522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0C19"/>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170AE4"/>
    <w:pPr>
      <w:spacing w:after="0" w:line="240" w:lineRule="auto"/>
    </w:pPr>
    <w:rPr>
      <w:rFonts w:ascii="Flama Semicondensed Light" w:eastAsia="Times New Roman" w:hAnsi="Flama Semicondensed Light" w:cs="Times New Roman"/>
      <w:sz w:val="24"/>
      <w:szCs w:val="24"/>
      <w:lang w:eastAsia="de-DE"/>
    </w:rPr>
  </w:style>
  <w:style w:type="numbering" w:customStyle="1" w:styleId="Style1">
    <w:name w:val="Style1"/>
    <w:uiPriority w:val="99"/>
    <w:rsid w:val="008A6406"/>
    <w:pPr>
      <w:numPr>
        <w:numId w:val="22"/>
      </w:numPr>
    </w:pPr>
  </w:style>
  <w:style w:type="table" w:styleId="TableGrid">
    <w:name w:val="Table Grid"/>
    <w:basedOn w:val="TableNormal"/>
    <w:uiPriority w:val="59"/>
    <w:rsid w:val="000F0316"/>
    <w:pPr>
      <w:spacing w:after="0" w:line="240" w:lineRule="auto"/>
    </w:pPr>
    <w:rPr>
      <w:rFonts w:ascii="Calibri" w:eastAsia="Calibri" w:hAnsi="Calibri"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42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olactive.com/wp-content/uploads/solactiveip/en/Factsheet_ESGEXCLUSIDX.pdf"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s://www.globaldata.com/"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solactive.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lobaldata.com/" TargetMode="Externa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http://www.solactive.com" TargetMode="External"/><Relationship Id="rId23" Type="http://schemas.openxmlformats.org/officeDocument/2006/relationships/fontTable" Target="fontTable.xml"/><Relationship Id="rId10" Type="http://schemas.openxmlformats.org/officeDocument/2006/relationships/image" Target="media/image6.sv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marketconsultation@solactive.com"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ma Semicondensed Light">
    <w:altName w:val="Calibri"/>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altName w:val="Calibri"/>
    <w:panose1 w:val="02000000000000000000"/>
    <w:charset w:val="00"/>
    <w:family w:val="auto"/>
    <w:pitch w:val="variable"/>
    <w:sig w:usb0="A00000AF" w:usb1="4000207B" w:usb2="00000000" w:usb3="00000000" w:csb0="0000008B"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3D3AA1"/>
    <w:rsid w:val="00523072"/>
    <w:rsid w:val="005325BE"/>
    <w:rsid w:val="006036D6"/>
    <w:rsid w:val="00872728"/>
    <w:rsid w:val="00911CFE"/>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2022-07-06T00:00:00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3128</Words>
  <Characters>17832</Characters>
  <Application>Microsoft Office Word</Application>
  <DocSecurity>0</DocSecurity>
  <Lines>148</Lines>
  <Paragraphs>41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Clean Energy index</vt:lpstr>
      <vt:lpstr>Index Calculation Guideline</vt:lpstr>
    </vt:vector>
  </TitlesOfParts>
  <Company/>
  <LinksUpToDate>false</LinksUpToDate>
  <CharactersWithSpaces>20919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Clean Energy index</dc:title>
  <dc:subject>Calculation Documents &amp; Methodologies</dc:subject>
  <dc:creator>Solactive AG</dc:creator>
  <cp:keywords/>
  <dc:description/>
  <cp:lastModifiedBy>Distelmann, Luca</cp:lastModifiedBy>
  <cp:revision>2</cp:revision>
  <cp:lastPrinted>2022-07-07T07:39:00Z</cp:lastPrinted>
  <dcterms:created xsi:type="dcterms:W3CDTF">2022-07-08T10:49:00Z</dcterms:created>
  <dcterms:modified xsi:type="dcterms:W3CDTF">2022-07-08T10:49:00Z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