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B94654A" w:rsidR="0092193A" w:rsidRPr="0097651D" w:rsidRDefault="001E1D6F" w:rsidP="0092193A">
              <w:pPr>
                <w:pStyle w:val="Title"/>
                <w:rPr>
                  <w:lang w:val="en-US"/>
                </w:rPr>
              </w:pPr>
              <w:r w:rsidRPr="00D76406">
                <w:rPr>
                  <w:color w:val="FFFFFF" w:themeColor="background1"/>
                  <w:lang w:val="en-US"/>
                </w:rPr>
                <w:t>Market Consultatio</w:t>
              </w:r>
              <w:r>
                <w:rPr>
                  <w:color w:val="FFFFFF" w:themeColor="background1"/>
                  <w:lang w:val="en-US"/>
                </w:rPr>
                <w:t xml:space="preserve">n Solactive </w:t>
              </w:r>
              <w:r w:rsidR="00755D62">
                <w:rPr>
                  <w:color w:val="FFFFFF" w:themeColor="background1"/>
                  <w:lang w:val="en-US"/>
                </w:rPr>
                <w:t xml:space="preserve">China </w:t>
              </w:r>
              <w:r w:rsidR="008222A2">
                <w:rPr>
                  <w:color w:val="FFFFFF" w:themeColor="background1"/>
                  <w:lang w:val="en-US"/>
                </w:rPr>
                <w:t>Clean Energy</w:t>
              </w:r>
              <w:r w:rsidR="00EF4588">
                <w:rPr>
                  <w:color w:val="FFFFFF" w:themeColor="background1"/>
                  <w:lang w:val="en-US"/>
                </w:rPr>
                <w:t xml:space="preserve"> </w:t>
              </w:r>
              <w:r>
                <w:rPr>
                  <w:color w:val="FFFFFF" w:themeColor="background1"/>
                  <w:lang w:val="en-US"/>
                </w:rPr>
                <w:t>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F227384" w:rsidR="00466905" w:rsidRPr="00D902A1" w:rsidRDefault="003D2B3B"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29T00:00:00Z">
                                      <w:dateFormat w:val="dd MMMM yyyy"/>
                                      <w:lid w:val="en-GB"/>
                                      <w:storeMappedDataAs w:val="dateTime"/>
                                      <w:calendar w:val="gregorian"/>
                                    </w:date>
                                  </w:sdtPr>
                                  <w:sdtEndPr/>
                                  <w:sdtContent>
                                    <w:r w:rsidR="00755D62">
                                      <w:rPr>
                                        <w:color w:val="FFFFFF" w:themeColor="background1"/>
                                        <w:sz w:val="26"/>
                                        <w:szCs w:val="26"/>
                                        <w:lang w:val="en-GB"/>
                                      </w:rPr>
                                      <w:t>29 April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1F227384" w:rsidR="00466905" w:rsidRPr="00D902A1" w:rsidRDefault="00E53E4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29T00:00:00Z">
                                <w:dateFormat w:val="dd MMMM yyyy"/>
                                <w:lid w:val="en-GB"/>
                                <w:storeMappedDataAs w:val="dateTime"/>
                                <w:calendar w:val="gregorian"/>
                              </w:date>
                            </w:sdtPr>
                            <w:sdtEndPr/>
                            <w:sdtContent>
                              <w:r w:rsidR="00755D62">
                                <w:rPr>
                                  <w:color w:val="FFFFFF" w:themeColor="background1"/>
                                  <w:sz w:val="26"/>
                                  <w:szCs w:val="26"/>
                                  <w:lang w:val="en-GB"/>
                                </w:rPr>
                                <w:t>29 April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A90282F" w:rsidR="00E05994" w:rsidRDefault="002663E0" w:rsidP="00E05994">
      <w:pPr>
        <w:spacing w:before="0" w:after="160" w:line="259" w:lineRule="auto"/>
        <w:rPr>
          <w:lang w:val="en-US"/>
        </w:rPr>
      </w:pPr>
      <w:r w:rsidRPr="002663E0">
        <w:rPr>
          <w:lang w:val="en-GB"/>
        </w:rPr>
        <w:t xml:space="preserve">Solactive </w:t>
      </w:r>
      <w:r w:rsidR="00DD3C44" w:rsidRPr="001E1D6F">
        <w:rPr>
          <w:lang w:val="en-GB"/>
        </w:rPr>
        <w:t xml:space="preserve">AG </w:t>
      </w:r>
      <w:r w:rsidRPr="001E1D6F">
        <w:rPr>
          <w:lang w:val="en-GB"/>
        </w:rPr>
        <w:t xml:space="preserve">has decided to conduct a Market Consultation with regard to </w:t>
      </w:r>
      <w:r w:rsidR="00DD3C44" w:rsidRPr="001E1D6F">
        <w:rPr>
          <w:lang w:val="en-GB"/>
        </w:rPr>
        <w:t>chang</w:t>
      </w:r>
      <w:r w:rsidR="003841D2" w:rsidRPr="001E1D6F">
        <w:rPr>
          <w:lang w:val="en-GB"/>
        </w:rPr>
        <w:t>ing</w:t>
      </w:r>
      <w:r w:rsidR="00DD3C44" w:rsidRPr="001E1D6F">
        <w:rPr>
          <w:lang w:val="en-GB"/>
        </w:rPr>
        <w:t xml:space="preserve"> </w:t>
      </w:r>
      <w:r w:rsidR="004A428F" w:rsidRPr="001E1D6F">
        <w:rPr>
          <w:lang w:val="en-GB"/>
        </w:rPr>
        <w:t>the</w:t>
      </w:r>
      <w:r w:rsidR="00F964E4" w:rsidRPr="001E1D6F">
        <w:rPr>
          <w:lang w:val="en-GB"/>
        </w:rPr>
        <w:t xml:space="preserve"> </w:t>
      </w:r>
      <w:r w:rsidR="00E05994" w:rsidRPr="001E1D6F">
        <w:rPr>
          <w:lang w:val="en-GB"/>
        </w:rPr>
        <w:t xml:space="preserve">Index Methodology of the following </w:t>
      </w:r>
      <w:r w:rsidR="00A97E61" w:rsidRPr="001E1D6F">
        <w:rPr>
          <w:lang w:val="en-US"/>
        </w:rPr>
        <w:t>Ind</w:t>
      </w:r>
      <w:r w:rsidR="00E05994" w:rsidRPr="001E1D6F">
        <w:rPr>
          <w:lang w:val="en-US"/>
        </w:rPr>
        <w:t>ices (the ‘</w:t>
      </w:r>
      <w:r w:rsidR="00A97E61" w:rsidRPr="001E1D6F">
        <w:rPr>
          <w:lang w:val="en-US"/>
        </w:rPr>
        <w:t>Ind</w:t>
      </w:r>
      <w:r w:rsidR="00E05994" w:rsidRPr="001E1D6F">
        <w:rPr>
          <w:lang w:val="en-US"/>
        </w:rPr>
        <w:t>ices’):</w:t>
      </w:r>
    </w:p>
    <w:tbl>
      <w:tblPr>
        <w:tblW w:w="9629" w:type="dxa"/>
        <w:tblCellMar>
          <w:left w:w="0" w:type="dxa"/>
          <w:right w:w="0" w:type="dxa"/>
        </w:tblCellMar>
        <w:tblLook w:val="04A0" w:firstRow="1" w:lastRow="0" w:firstColumn="1" w:lastColumn="0" w:noHBand="0" w:noVBand="1"/>
      </w:tblPr>
      <w:tblGrid>
        <w:gridCol w:w="5750"/>
        <w:gridCol w:w="2037"/>
        <w:gridCol w:w="1842"/>
      </w:tblGrid>
      <w:tr w:rsidR="00755D62" w14:paraId="1B57FCB7" w14:textId="77777777" w:rsidTr="00EF4588">
        <w:trPr>
          <w:trHeight w:val="201"/>
        </w:trPr>
        <w:tc>
          <w:tcPr>
            <w:tcW w:w="5750"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4C660E4" w:rsidR="00755D62" w:rsidRDefault="00755D62" w:rsidP="00755D62">
            <w:pPr>
              <w:spacing w:line="256" w:lineRule="auto"/>
              <w:rPr>
                <w:b/>
                <w:bCs/>
                <w:sz w:val="22"/>
                <w:szCs w:val="22"/>
                <w:lang w:eastAsia="en-US"/>
              </w:rPr>
            </w:pPr>
            <w:r w:rsidRPr="00663109">
              <w:rPr>
                <w:b/>
                <w:bCs/>
              </w:rPr>
              <w:t>NAME</w:t>
            </w:r>
          </w:p>
        </w:tc>
        <w:tc>
          <w:tcPr>
            <w:tcW w:w="2037"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3D6843EE" w:rsidR="00755D62" w:rsidRDefault="00755D62" w:rsidP="00755D62">
            <w:pPr>
              <w:spacing w:line="256" w:lineRule="auto"/>
              <w:rPr>
                <w:b/>
                <w:bCs/>
              </w:rPr>
            </w:pPr>
            <w:r w:rsidRPr="00663109">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5D3963EB" w:rsidR="00755D62" w:rsidRDefault="00755D62" w:rsidP="00755D62">
            <w:pPr>
              <w:spacing w:line="256" w:lineRule="auto"/>
              <w:rPr>
                <w:b/>
                <w:bCs/>
              </w:rPr>
            </w:pPr>
            <w:r w:rsidRPr="00663109">
              <w:rPr>
                <w:b/>
                <w:bCs/>
              </w:rPr>
              <w:t>ISIN</w:t>
            </w:r>
          </w:p>
        </w:tc>
      </w:tr>
      <w:tr w:rsidR="008222A2" w14:paraId="285C0C70" w14:textId="77777777" w:rsidTr="00EF4588">
        <w:trPr>
          <w:trHeight w:val="605"/>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986C86E" w14:textId="64988384" w:rsidR="008222A2" w:rsidRPr="003A1DD5" w:rsidRDefault="008222A2" w:rsidP="008222A2">
            <w:pPr>
              <w:spacing w:line="256" w:lineRule="auto"/>
              <w:rPr>
                <w:rFonts w:eastAsia="Calibri"/>
                <w:color w:val="000000"/>
                <w:sz w:val="22"/>
                <w:szCs w:val="22"/>
                <w:lang w:val="en-US" w:eastAsia="en-US"/>
              </w:rPr>
            </w:pPr>
            <w:r w:rsidRPr="0029717C">
              <w:rPr>
                <w:color w:val="000000" w:themeColor="text1"/>
                <w:lang w:val="en-US"/>
              </w:rPr>
              <w:t>Solactive China Clean Energy Index PR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2C3F688" w14:textId="212D80BA" w:rsidR="008222A2" w:rsidRDefault="008222A2" w:rsidP="008222A2">
            <w:pPr>
              <w:spacing w:line="256" w:lineRule="auto"/>
              <w:rPr>
                <w:rFonts w:eastAsia="Calibri"/>
                <w:color w:val="000000"/>
                <w:lang w:val="en-GB" w:eastAsia="en-US"/>
              </w:rPr>
            </w:pPr>
            <w:r w:rsidRPr="0029717C">
              <w:rPr>
                <w:color w:val="000000" w:themeColor="text1"/>
                <w:lang w:val="en-US"/>
              </w:rPr>
              <w:t>.SOLCCEIP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2D59FB1" w14:textId="27721002" w:rsidR="008222A2" w:rsidRPr="001E1D6F" w:rsidRDefault="008222A2" w:rsidP="008222A2">
            <w:pPr>
              <w:rPr>
                <w:color w:val="000000" w:themeColor="text1"/>
                <w:lang w:val="en-US"/>
              </w:rPr>
            </w:pPr>
            <w:r w:rsidRPr="0029717C">
              <w:rPr>
                <w:color w:val="000000" w:themeColor="text1"/>
                <w:lang w:val="en-US"/>
              </w:rPr>
              <w:t>DE000SLA9KC9</w:t>
            </w:r>
          </w:p>
        </w:tc>
      </w:tr>
      <w:tr w:rsidR="008222A2" w14:paraId="5D0FAC92" w14:textId="77777777" w:rsidTr="00EF4588">
        <w:trPr>
          <w:trHeight w:val="201"/>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08FF587" w14:textId="009B6DF9" w:rsidR="008222A2" w:rsidRPr="00351797" w:rsidRDefault="008222A2" w:rsidP="008222A2">
            <w:pPr>
              <w:spacing w:line="256" w:lineRule="auto"/>
              <w:rPr>
                <w:color w:val="000000" w:themeColor="text1"/>
                <w:lang w:val="en-US"/>
              </w:rPr>
            </w:pPr>
            <w:r w:rsidRPr="0029717C">
              <w:rPr>
                <w:color w:val="000000" w:themeColor="text1"/>
                <w:lang w:val="en-US"/>
              </w:rPr>
              <w:t>Solactive China Clean Energy Index NTR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DCB1BE1" w14:textId="75498EC1" w:rsidR="008222A2" w:rsidRDefault="008222A2" w:rsidP="008222A2">
            <w:pPr>
              <w:spacing w:line="256" w:lineRule="auto"/>
              <w:rPr>
                <w:color w:val="000000" w:themeColor="text1"/>
                <w:lang w:val="en-US"/>
              </w:rPr>
            </w:pPr>
            <w:r w:rsidRPr="0029717C">
              <w:rPr>
                <w:color w:val="000000" w:themeColor="text1"/>
                <w:lang w:val="en-US"/>
              </w:rPr>
              <w:t>.SOLCCEI</w:t>
            </w:r>
            <w:r>
              <w:rPr>
                <w:color w:val="000000" w:themeColor="text1"/>
                <w:lang w:val="en-US"/>
              </w:rPr>
              <w:t>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3F9466E" w14:textId="06153014" w:rsidR="008222A2" w:rsidRPr="001E6C50" w:rsidRDefault="008222A2" w:rsidP="008222A2">
            <w:pPr>
              <w:rPr>
                <w:color w:val="000000" w:themeColor="text1"/>
                <w:lang w:val="en-US"/>
              </w:rPr>
            </w:pPr>
            <w:r w:rsidRPr="0029717C">
              <w:rPr>
                <w:color w:val="000000" w:themeColor="text1"/>
                <w:lang w:val="en-US"/>
              </w:rPr>
              <w:t>DE000SLA9KD7</w:t>
            </w:r>
          </w:p>
        </w:tc>
      </w:tr>
      <w:tr w:rsidR="008222A2" w14:paraId="1BE6ABEC" w14:textId="77777777" w:rsidTr="00EF4588">
        <w:trPr>
          <w:trHeight w:val="201"/>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E7283F4" w14:textId="018C2B7B" w:rsidR="008222A2" w:rsidRDefault="008222A2" w:rsidP="008222A2">
            <w:pPr>
              <w:spacing w:line="256" w:lineRule="auto"/>
              <w:rPr>
                <w:color w:val="000000" w:themeColor="text1"/>
                <w:lang w:val="en-US"/>
              </w:rPr>
            </w:pPr>
            <w:r w:rsidRPr="0029717C">
              <w:rPr>
                <w:color w:val="000000" w:themeColor="text1"/>
                <w:lang w:val="en-US"/>
              </w:rPr>
              <w:t>Solactive China Clean Energy Index TR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A3CEB3A" w14:textId="5C7A50B9" w:rsidR="008222A2" w:rsidRDefault="008222A2" w:rsidP="008222A2">
            <w:pPr>
              <w:spacing w:line="256" w:lineRule="auto"/>
              <w:rPr>
                <w:color w:val="000000" w:themeColor="text1"/>
                <w:lang w:val="en-US"/>
              </w:rPr>
            </w:pPr>
            <w:r w:rsidRPr="0029717C">
              <w:rPr>
                <w:color w:val="000000" w:themeColor="text1"/>
                <w:lang w:val="en-US"/>
              </w:rPr>
              <w:t>.SOLCCEI</w:t>
            </w:r>
            <w:r>
              <w:rPr>
                <w:color w:val="000000" w:themeColor="text1"/>
                <w:lang w:val="en-US"/>
              </w:rPr>
              <w:t>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E18E3C3" w14:textId="174999F3" w:rsidR="008222A2" w:rsidRPr="00351797" w:rsidRDefault="008222A2" w:rsidP="008222A2">
            <w:pPr>
              <w:rPr>
                <w:color w:val="000000" w:themeColor="text1"/>
                <w:lang w:val="en-US"/>
              </w:rPr>
            </w:pPr>
            <w:r w:rsidRPr="0029717C">
              <w:rPr>
                <w:color w:val="000000" w:themeColor="text1"/>
                <w:lang w:val="en-US"/>
              </w:rPr>
              <w:t>DE000SLA9KE5</w:t>
            </w:r>
          </w:p>
        </w:tc>
      </w:tr>
    </w:tbl>
    <w:p w14:paraId="590E3787" w14:textId="77777777" w:rsidR="00E05994" w:rsidRDefault="00E05994" w:rsidP="00E05994">
      <w:pPr>
        <w:spacing w:before="0" w:after="160" w:line="259" w:lineRule="auto"/>
        <w:rPr>
          <w:lang w:val="en-GB"/>
        </w:rPr>
      </w:pPr>
    </w:p>
    <w:p w14:paraId="012DE387" w14:textId="5AED4B47" w:rsidR="00783C68" w:rsidRPr="0026131F" w:rsidRDefault="00783C68" w:rsidP="00995D4A">
      <w:pPr>
        <w:spacing w:before="0" w:after="160" w:line="259" w:lineRule="auto"/>
        <w:jc w:val="left"/>
        <w:rPr>
          <w:sz w:val="28"/>
          <w:szCs w:val="28"/>
          <w:lang w:val="en-GB"/>
        </w:rPr>
      </w:pPr>
      <w:r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4B2E85AA" w14:textId="7F794371" w:rsidR="00953834" w:rsidRPr="00953834" w:rsidRDefault="00953834" w:rsidP="00953834">
      <w:pPr>
        <w:spacing w:line="276" w:lineRule="auto"/>
        <w:rPr>
          <w:lang w:val="en-GB"/>
        </w:rPr>
      </w:pPr>
      <w:r w:rsidRPr="00953834">
        <w:rPr>
          <w:lang w:val="en-GB"/>
        </w:rPr>
        <w:t xml:space="preserve">The Indices aim to represent the companies that are actively engaged in the Chinese </w:t>
      </w:r>
      <w:r w:rsidR="008222A2">
        <w:rPr>
          <w:lang w:val="en-GB"/>
        </w:rPr>
        <w:t>clean energy</w:t>
      </w:r>
      <w:r w:rsidRPr="00953834">
        <w:rPr>
          <w:lang w:val="en-GB"/>
        </w:rPr>
        <w:t xml:space="preserve"> industry. Solactive has determined that the Chinese </w:t>
      </w:r>
      <w:r w:rsidR="008222A2">
        <w:rPr>
          <w:lang w:val="en-GB"/>
        </w:rPr>
        <w:t>clean energy</w:t>
      </w:r>
      <w:r w:rsidRPr="00953834">
        <w:rPr>
          <w:lang w:val="en-GB"/>
        </w:rPr>
        <w:t xml:space="preserve"> industry has grown over time and additional companies have entered this rising business segment. Therefore, to ensure the reflection of objective of the Indices and to improve the diversification within the index composition, an increase of the number of index constituents from 20 to 35 is proposed. In addition, it is proposed to select the index components by using RBICS subindustry classification scheme instead of the FactSet’s industry matrix due to its greater granularity to make the selection process more robust. </w:t>
      </w:r>
      <w:r w:rsidRPr="00953834">
        <w:rPr>
          <w:lang w:val="en-GB"/>
        </w:rPr>
        <w:br/>
        <w:t>Moreover, Solactive has proposed that the calculation formula of the Indices should be modified from Standard to Divisor.</w:t>
      </w:r>
    </w:p>
    <w:p w14:paraId="52CAA712" w14:textId="55334AE6" w:rsidR="00953834" w:rsidRPr="00953834" w:rsidRDefault="00953834" w:rsidP="00953834">
      <w:pPr>
        <w:spacing w:line="276" w:lineRule="auto"/>
        <w:rPr>
          <w:lang w:val="en-GB"/>
        </w:rPr>
      </w:pPr>
      <w:r w:rsidRPr="00953834">
        <w:rPr>
          <w:lang w:val="en-GB"/>
        </w:rPr>
        <w:t xml:space="preserve">In order </w:t>
      </w:r>
      <w:r w:rsidR="003D2B3B">
        <w:rPr>
          <w:lang w:val="en-GB"/>
        </w:rPr>
        <w:t xml:space="preserve">to </w:t>
      </w:r>
      <w:r w:rsidRPr="00953834">
        <w:rPr>
          <w:lang w:val="en-GB"/>
        </w:rPr>
        <w:t>reduce the turnover and to decrease the price impact, it is suggested to implement the following weighting scheme for the rebalancing on the second Friday in July 2022:</w:t>
      </w:r>
    </w:p>
    <w:p w14:paraId="74D14601" w14:textId="2091479C" w:rsidR="00743BE6" w:rsidRPr="00F21FFF" w:rsidRDefault="00743BE6" w:rsidP="009B37FB">
      <w:pPr>
        <w:pStyle w:val="ListParagraph"/>
        <w:numPr>
          <w:ilvl w:val="0"/>
          <w:numId w:val="33"/>
        </w:numPr>
        <w:spacing w:after="100" w:afterAutospacing="1" w:line="276" w:lineRule="auto"/>
        <w:rPr>
          <w:lang w:val="en-US"/>
        </w:rPr>
      </w:pPr>
      <w:r w:rsidRPr="00F21FFF">
        <w:rPr>
          <w:lang w:val="en-US"/>
        </w:rPr>
        <w:t>Each Index Component is assigned a weight according to Free Float Market Capitalization such that the</w:t>
      </w:r>
      <w:r w:rsidR="00F21FFF" w:rsidRPr="00F21FFF">
        <w:rPr>
          <w:lang w:val="en-US"/>
        </w:rPr>
        <w:t xml:space="preserve"> </w:t>
      </w:r>
      <w:r w:rsidRPr="00F21FFF">
        <w:rPr>
          <w:lang w:val="en-US"/>
        </w:rPr>
        <w:t>weight of the company does not exceed 9%. The excess weight will be distributed to the other Index Components pro-rata in an iterative process.</w:t>
      </w:r>
    </w:p>
    <w:p w14:paraId="1B777FD0" w14:textId="462118E3" w:rsidR="00743BE6" w:rsidRPr="00F21FFF" w:rsidRDefault="00743BE6" w:rsidP="009B37FB">
      <w:pPr>
        <w:pStyle w:val="ListParagraph"/>
        <w:numPr>
          <w:ilvl w:val="0"/>
          <w:numId w:val="33"/>
        </w:numPr>
        <w:spacing w:after="100" w:afterAutospacing="1" w:line="276" w:lineRule="auto"/>
        <w:rPr>
          <w:lang w:val="en-US"/>
        </w:rPr>
      </w:pPr>
      <w:r w:rsidRPr="00F21FFF">
        <w:rPr>
          <w:lang w:val="en-US"/>
        </w:rPr>
        <w:t>The weight of each Index Component is multiplied by 0.5 if the security is not a current Index Component. The weights are redistributed pro-rata to the other Index Component in an iterative process while keeping the single security cap of 9%.</w:t>
      </w:r>
    </w:p>
    <w:p w14:paraId="49AD1A6B" w14:textId="77777777" w:rsidR="00E53E4C" w:rsidRDefault="00E53E4C" w:rsidP="00F568D6">
      <w:pPr>
        <w:spacing w:before="0" w:after="160" w:line="259" w:lineRule="auto"/>
        <w:jc w:val="left"/>
        <w:rPr>
          <w:b/>
          <w:bCs/>
          <w:sz w:val="28"/>
          <w:szCs w:val="28"/>
          <w:u w:val="single"/>
          <w:lang w:val="en-GB"/>
        </w:rPr>
      </w:pPr>
    </w:p>
    <w:p w14:paraId="49CC1619" w14:textId="77777777" w:rsidR="00E53E4C" w:rsidRDefault="00E53E4C" w:rsidP="00F568D6">
      <w:pPr>
        <w:spacing w:before="0" w:after="160" w:line="259" w:lineRule="auto"/>
        <w:jc w:val="left"/>
        <w:rPr>
          <w:b/>
          <w:bCs/>
          <w:sz w:val="28"/>
          <w:szCs w:val="28"/>
          <w:u w:val="single"/>
          <w:lang w:val="en-GB"/>
        </w:rPr>
      </w:pPr>
    </w:p>
    <w:p w14:paraId="6FC3DC13" w14:textId="77777777" w:rsidR="00E53E4C" w:rsidRDefault="00E53E4C" w:rsidP="00F568D6">
      <w:pPr>
        <w:spacing w:before="0" w:after="160" w:line="259" w:lineRule="auto"/>
        <w:jc w:val="left"/>
        <w:rPr>
          <w:b/>
          <w:bCs/>
          <w:sz w:val="28"/>
          <w:szCs w:val="28"/>
          <w:u w:val="single"/>
          <w:lang w:val="en-GB"/>
        </w:rPr>
      </w:pPr>
    </w:p>
    <w:p w14:paraId="2A079CAD" w14:textId="3578A0F6"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lastRenderedPageBreak/>
        <w:t xml:space="preserve">Proposed </w:t>
      </w:r>
      <w:r w:rsidR="00F568D6" w:rsidRPr="0026131F">
        <w:rPr>
          <w:b/>
          <w:bCs/>
          <w:sz w:val="28"/>
          <w:szCs w:val="28"/>
          <w:u w:val="single"/>
          <w:lang w:val="en-GB"/>
        </w:rPr>
        <w:t>Change</w:t>
      </w:r>
      <w:r w:rsidR="001E1D6F">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F76F8F3" w:rsidR="004A428F" w:rsidRDefault="004A428F" w:rsidP="0026131F">
      <w:pPr>
        <w:spacing w:before="0" w:after="160" w:line="259" w:lineRule="auto"/>
        <w:rPr>
          <w:lang w:val="en-GB"/>
        </w:rPr>
      </w:pPr>
      <w:r>
        <w:rPr>
          <w:lang w:val="en-GB"/>
        </w:rPr>
        <w:t>The following Methodology change</w:t>
      </w:r>
      <w:r w:rsidR="001E1D6F">
        <w:rPr>
          <w:lang w:val="en-GB"/>
        </w:rPr>
        <w:t xml:space="preserve">s </w:t>
      </w:r>
      <w:r w:rsidR="001E1D6F">
        <w:rPr>
          <w:lang w:val="en-US"/>
        </w:rPr>
        <w:t>are</w:t>
      </w:r>
      <w:r>
        <w:rPr>
          <w:lang w:val="en-GB"/>
        </w:rPr>
        <w:t xml:space="preserve"> proposed in the following point</w:t>
      </w:r>
      <w:r w:rsidR="001E1D6F">
        <w:rPr>
          <w:lang w:val="en-GB"/>
        </w:rPr>
        <w:t>s</w:t>
      </w:r>
      <w:r w:rsidR="00A64163" w:rsidRPr="0026131F" w:rsidDel="00C77B4F">
        <w:rPr>
          <w:lang w:val="en-GB"/>
        </w:rPr>
        <w:t xml:space="preserve"> </w:t>
      </w:r>
      <w:r w:rsidR="00C32515">
        <w:rPr>
          <w:lang w:val="en-GB"/>
        </w:rPr>
        <w:t>of the Index Guideline</w:t>
      </w:r>
      <w:r>
        <w:rPr>
          <w:lang w:val="en-GB"/>
        </w:rPr>
        <w:t xml:space="preserve"> (ordered in accordance with the numbering of the affected sections):</w:t>
      </w:r>
    </w:p>
    <w:p w14:paraId="4F33C196" w14:textId="2FD03075" w:rsidR="00FF1329" w:rsidRDefault="00FF1329" w:rsidP="00A77DB4">
      <w:pPr>
        <w:spacing w:before="0" w:after="160" w:line="259" w:lineRule="auto"/>
        <w:jc w:val="left"/>
        <w:rPr>
          <w:lang w:val="en-US" w:eastAsia="en-US"/>
        </w:rPr>
      </w:pPr>
      <w:r w:rsidRPr="006A2F34">
        <w:rPr>
          <w:b/>
          <w:bCs/>
          <w:lang w:val="en-US" w:eastAsia="en-US"/>
        </w:rPr>
        <w:t xml:space="preserve">Section </w:t>
      </w:r>
      <w:r w:rsidR="001E1D6F" w:rsidRPr="006A2F34">
        <w:rPr>
          <w:b/>
          <w:bCs/>
          <w:lang w:val="en-US" w:eastAsia="en-US"/>
        </w:rPr>
        <w:t xml:space="preserve">2.1 </w:t>
      </w:r>
      <w:bookmarkStart w:id="1" w:name="_Toc16854278"/>
      <w:r w:rsidRPr="006A2F34">
        <w:rPr>
          <w:b/>
          <w:bCs/>
          <w:lang w:val="en-US" w:eastAsia="en-US"/>
        </w:rPr>
        <w:t>Index Universe Requirements</w:t>
      </w:r>
      <w:bookmarkEnd w:id="1"/>
    </w:p>
    <w:p w14:paraId="04B1E9C6"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From (old version):</w:t>
      </w:r>
    </w:p>
    <w:p w14:paraId="127BFA74" w14:textId="7648D058" w:rsidR="00755D62" w:rsidRDefault="001E1D6F" w:rsidP="001E1D6F">
      <w:pPr>
        <w:spacing w:after="100" w:afterAutospacing="1" w:line="360" w:lineRule="auto"/>
        <w:rPr>
          <w:color w:val="000000" w:themeColor="text1"/>
          <w:lang w:val="en-US"/>
        </w:rPr>
      </w:pPr>
      <w:r w:rsidRPr="00351797">
        <w:rPr>
          <w:color w:val="000000" w:themeColor="text1"/>
          <w:lang w:val="en-US"/>
        </w:rPr>
        <w:t> “[…]</w:t>
      </w:r>
    </w:p>
    <w:p w14:paraId="6C29470B" w14:textId="77777777" w:rsidR="008222A2" w:rsidRPr="00621D78" w:rsidRDefault="00621D78" w:rsidP="008222A2">
      <w:pPr>
        <w:ind w:left="705" w:hanging="705"/>
        <w:rPr>
          <w:lang w:val="en-US"/>
        </w:rPr>
      </w:pPr>
      <w:bookmarkStart w:id="2" w:name="_Hlk29897173"/>
      <w:r w:rsidRPr="00DF2375">
        <w:rPr>
          <w:lang w:val="en-US"/>
        </w:rPr>
        <w:t>3.</w:t>
      </w:r>
      <w:r w:rsidRPr="00DF2375">
        <w:rPr>
          <w:lang w:val="en-US"/>
        </w:rPr>
        <w:tab/>
      </w:r>
      <w:r w:rsidR="008222A2" w:rsidRPr="00621D78">
        <w:rPr>
          <w:lang w:val="en-US"/>
        </w:rPr>
        <w:t>Should be from the following clean energy-related industries according to the FactSet Industries and Economic Sectors:</w:t>
      </w:r>
    </w:p>
    <w:p w14:paraId="069761EB" w14:textId="77777777" w:rsidR="008222A2" w:rsidRPr="00081E7E" w:rsidRDefault="008222A2" w:rsidP="008222A2">
      <w:pPr>
        <w:pStyle w:val="ListParagraph"/>
        <w:numPr>
          <w:ilvl w:val="1"/>
          <w:numId w:val="4"/>
        </w:numPr>
        <w:rPr>
          <w:lang w:val="en-US"/>
        </w:rPr>
      </w:pPr>
      <w:r>
        <w:rPr>
          <w:lang w:val="en-US"/>
        </w:rPr>
        <w:t>Alternative Power Generation</w:t>
      </w:r>
    </w:p>
    <w:p w14:paraId="78941DA7" w14:textId="77777777" w:rsidR="008222A2" w:rsidRPr="00B5470E" w:rsidRDefault="008222A2" w:rsidP="008222A2">
      <w:pPr>
        <w:pStyle w:val="ListParagraph"/>
        <w:numPr>
          <w:ilvl w:val="1"/>
          <w:numId w:val="4"/>
        </w:numPr>
        <w:rPr>
          <w:lang w:val="en-US"/>
        </w:rPr>
      </w:pPr>
      <w:r>
        <w:rPr>
          <w:lang w:val="en-US"/>
        </w:rPr>
        <w:t>Engineering &amp; Construction</w:t>
      </w:r>
    </w:p>
    <w:p w14:paraId="65429317" w14:textId="77777777" w:rsidR="008222A2" w:rsidRDefault="008222A2" w:rsidP="008222A2">
      <w:pPr>
        <w:pStyle w:val="ListParagraph"/>
        <w:numPr>
          <w:ilvl w:val="1"/>
          <w:numId w:val="4"/>
        </w:numPr>
        <w:rPr>
          <w:lang w:val="en-US"/>
        </w:rPr>
      </w:pPr>
      <w:r>
        <w:rPr>
          <w:lang w:val="en-US"/>
        </w:rPr>
        <w:t>Industrial Specialties</w:t>
      </w:r>
    </w:p>
    <w:p w14:paraId="4611CA46" w14:textId="77777777" w:rsidR="008222A2" w:rsidRDefault="008222A2" w:rsidP="008222A2">
      <w:pPr>
        <w:pStyle w:val="ListParagraph"/>
        <w:numPr>
          <w:ilvl w:val="1"/>
          <w:numId w:val="4"/>
        </w:numPr>
        <w:rPr>
          <w:lang w:val="en-US"/>
        </w:rPr>
      </w:pPr>
      <w:r>
        <w:rPr>
          <w:lang w:val="en-US"/>
        </w:rPr>
        <w:t>Miscellaneous Manufacturing</w:t>
      </w:r>
    </w:p>
    <w:p w14:paraId="3389AF01" w14:textId="77777777" w:rsidR="008222A2" w:rsidRDefault="008222A2" w:rsidP="008222A2">
      <w:pPr>
        <w:pStyle w:val="ListParagraph"/>
        <w:numPr>
          <w:ilvl w:val="1"/>
          <w:numId w:val="4"/>
        </w:numPr>
        <w:rPr>
          <w:lang w:val="en-US"/>
        </w:rPr>
      </w:pPr>
      <w:r>
        <w:rPr>
          <w:lang w:val="en-US"/>
        </w:rPr>
        <w:t>Semiconductors</w:t>
      </w:r>
    </w:p>
    <w:p w14:paraId="440B8F75" w14:textId="77777777" w:rsidR="008222A2" w:rsidRDefault="008222A2" w:rsidP="008222A2">
      <w:pPr>
        <w:pStyle w:val="ListParagraph"/>
        <w:numPr>
          <w:ilvl w:val="1"/>
          <w:numId w:val="4"/>
        </w:numPr>
        <w:rPr>
          <w:lang w:val="en-US"/>
        </w:rPr>
      </w:pPr>
      <w:r>
        <w:rPr>
          <w:lang w:val="en-US"/>
        </w:rPr>
        <w:t>Electrical Products</w:t>
      </w:r>
    </w:p>
    <w:p w14:paraId="0A8B4A08" w14:textId="77777777" w:rsidR="008222A2" w:rsidRDefault="008222A2" w:rsidP="008222A2">
      <w:pPr>
        <w:pStyle w:val="ListParagraph"/>
        <w:numPr>
          <w:ilvl w:val="1"/>
          <w:numId w:val="4"/>
        </w:numPr>
        <w:rPr>
          <w:lang w:val="en-US"/>
        </w:rPr>
      </w:pPr>
      <w:r>
        <w:rPr>
          <w:lang w:val="en-US"/>
        </w:rPr>
        <w:t>Electronic Production Equipment</w:t>
      </w:r>
    </w:p>
    <w:p w14:paraId="1CA3D62C" w14:textId="77777777" w:rsidR="008222A2" w:rsidRDefault="008222A2" w:rsidP="008222A2">
      <w:pPr>
        <w:pStyle w:val="ListParagraph"/>
        <w:numPr>
          <w:ilvl w:val="1"/>
          <w:numId w:val="4"/>
        </w:numPr>
        <w:rPr>
          <w:lang w:val="en-US"/>
        </w:rPr>
      </w:pPr>
      <w:r>
        <w:rPr>
          <w:lang w:val="en-US"/>
        </w:rPr>
        <w:t>Electric Utilities</w:t>
      </w:r>
    </w:p>
    <w:p w14:paraId="545C117A" w14:textId="77777777" w:rsidR="008222A2" w:rsidRDefault="008222A2" w:rsidP="008222A2">
      <w:pPr>
        <w:pStyle w:val="ListParagraph"/>
        <w:numPr>
          <w:ilvl w:val="1"/>
          <w:numId w:val="4"/>
        </w:numPr>
        <w:rPr>
          <w:lang w:val="en-US"/>
        </w:rPr>
      </w:pPr>
      <w:r>
        <w:rPr>
          <w:lang w:val="en-US"/>
        </w:rPr>
        <w:t>Chemicals: Specialty</w:t>
      </w:r>
    </w:p>
    <w:p w14:paraId="066A7817" w14:textId="6B1757B3" w:rsidR="00621D78" w:rsidRDefault="00621D78" w:rsidP="008222A2">
      <w:pPr>
        <w:rPr>
          <w:color w:val="000000" w:themeColor="text1"/>
          <w:lang w:val="en-US"/>
        </w:rPr>
      </w:pPr>
      <w:r w:rsidRPr="00351797">
        <w:rPr>
          <w:color w:val="000000" w:themeColor="text1"/>
          <w:lang w:val="en-US"/>
        </w:rPr>
        <w:t> […]</w:t>
      </w:r>
      <w:r>
        <w:rPr>
          <w:color w:val="000000" w:themeColor="text1"/>
          <w:lang w:val="en-US"/>
        </w:rPr>
        <w:t>”</w:t>
      </w:r>
    </w:p>
    <w:p w14:paraId="18AF2C5E" w14:textId="327C21FF" w:rsidR="009B37FB" w:rsidRDefault="009B37FB" w:rsidP="009B37FB">
      <w:pPr>
        <w:spacing w:after="100" w:afterAutospacing="1" w:line="360" w:lineRule="auto"/>
        <w:rPr>
          <w:color w:val="000000" w:themeColor="text1"/>
          <w:lang w:val="en-US"/>
        </w:rPr>
      </w:pPr>
      <w:r w:rsidRPr="00351797">
        <w:rPr>
          <w:color w:val="000000" w:themeColor="text1"/>
          <w:lang w:val="en-US"/>
        </w:rPr>
        <w:t> “[…]</w:t>
      </w:r>
    </w:p>
    <w:p w14:paraId="5B7A35BE" w14:textId="36DD38D8" w:rsidR="008222A2" w:rsidRPr="008222A2" w:rsidRDefault="008222A2" w:rsidP="008222A2">
      <w:pPr>
        <w:pStyle w:val="ListParagraph"/>
        <w:numPr>
          <w:ilvl w:val="0"/>
          <w:numId w:val="29"/>
        </w:numPr>
        <w:rPr>
          <w:lang w:val="en-US"/>
        </w:rPr>
      </w:pPr>
      <w:r w:rsidRPr="00DD7A67">
        <w:rPr>
          <w:lang w:val="en-US"/>
        </w:rPr>
        <w:t>If the company is not classified in the sector UTILITIES, based on FactSet Industries and Economic Sectors, the company should have a Debt to EBIT ratio of less than, or equal to, 30 as of the last completed financial year.</w:t>
      </w:r>
    </w:p>
    <w:p w14:paraId="45D99652" w14:textId="2DD4E5A2" w:rsidR="009B37FB" w:rsidRPr="00DD7A67" w:rsidRDefault="009B37FB" w:rsidP="009B37FB">
      <w:pPr>
        <w:pStyle w:val="ListParagraph"/>
        <w:numPr>
          <w:ilvl w:val="0"/>
          <w:numId w:val="29"/>
        </w:numPr>
        <w:rPr>
          <w:lang w:val="en-US"/>
        </w:rPr>
      </w:pPr>
      <w:r w:rsidRPr="00DD7A67">
        <w:rPr>
          <w:lang w:val="en-US"/>
        </w:rPr>
        <w:t xml:space="preserve">The companies are ranked in their industries, as defined in step 3, according to </w:t>
      </w:r>
      <w:r w:rsidRPr="00DD7A67">
        <w:rPr>
          <w:bCs/>
          <w:smallCaps/>
          <w:lang w:val="en-US"/>
        </w:rPr>
        <w:t>Total Market Capitalization</w:t>
      </w:r>
      <w:r w:rsidRPr="00DD7A67">
        <w:rPr>
          <w:lang w:val="en-US"/>
        </w:rPr>
        <w:t xml:space="preserve">. </w:t>
      </w:r>
      <w:r w:rsidRPr="00DD7A67">
        <w:rPr>
          <w:rFonts w:eastAsia="Calibri"/>
          <w:lang w:val="en-US" w:eastAsia="en-US"/>
        </w:rPr>
        <w:t xml:space="preserve">The top 8 per industry are selected and constitute the </w:t>
      </w:r>
      <w:r w:rsidRPr="00DD7A67">
        <w:rPr>
          <w:rFonts w:eastAsia="Calibri"/>
          <w:smallCaps/>
          <w:lang w:val="en-US" w:eastAsia="en-US"/>
        </w:rPr>
        <w:t>Index Universe</w:t>
      </w:r>
      <w:r w:rsidRPr="00DD7A67">
        <w:rPr>
          <w:smallCaps/>
          <w:lang w:val="en-US" w:eastAsia="en-US"/>
        </w:rPr>
        <w:t>.</w:t>
      </w:r>
    </w:p>
    <w:p w14:paraId="4768A227" w14:textId="77777777" w:rsidR="009B37FB" w:rsidRPr="00DD7A67" w:rsidRDefault="009B37FB" w:rsidP="009B37FB">
      <w:pPr>
        <w:pStyle w:val="ListParagraph"/>
        <w:numPr>
          <w:ilvl w:val="0"/>
          <w:numId w:val="29"/>
        </w:numPr>
        <w:rPr>
          <w:lang w:val="en-US"/>
        </w:rPr>
      </w:pPr>
      <w:r w:rsidRPr="00DD7A67">
        <w:rPr>
          <w:lang w:val="en-US" w:eastAsia="en-US"/>
        </w:rPr>
        <w:t xml:space="preserve">Should less than 15 securities fulfill the requirements until and including step 10, the largest security/securities per </w:t>
      </w:r>
      <w:r w:rsidRPr="00DD7A67">
        <w:rPr>
          <w:bCs/>
          <w:smallCaps/>
          <w:lang w:val="en-US"/>
        </w:rPr>
        <w:t>Total Market Capitalization</w:t>
      </w:r>
      <w:r w:rsidRPr="00DD7A67">
        <w:rPr>
          <w:lang w:val="en-US" w:eastAsia="en-US"/>
        </w:rPr>
        <w:t xml:space="preserve"> that does/do not fulfill the requirements until and including step 9, but fulfills/fulfill the requirements until and including step 8, is/are selected until the </w:t>
      </w:r>
      <w:r w:rsidRPr="00DD7A67">
        <w:rPr>
          <w:smallCaps/>
          <w:lang w:val="en-US" w:eastAsia="en-US"/>
        </w:rPr>
        <w:t>Index Universe</w:t>
      </w:r>
      <w:r w:rsidRPr="00DD7A67">
        <w:rPr>
          <w:lang w:val="en-US" w:eastAsia="en-US"/>
        </w:rPr>
        <w:t xml:space="preserve"> consists of 15 securities.</w:t>
      </w:r>
    </w:p>
    <w:p w14:paraId="75A76936" w14:textId="77777777" w:rsidR="009B37FB" w:rsidRDefault="009B37FB" w:rsidP="009B37FB">
      <w:pPr>
        <w:ind w:left="705" w:hanging="705"/>
        <w:rPr>
          <w:color w:val="000000" w:themeColor="text1"/>
          <w:lang w:val="en-US"/>
        </w:rPr>
      </w:pPr>
      <w:r w:rsidRPr="00351797">
        <w:rPr>
          <w:color w:val="000000" w:themeColor="text1"/>
          <w:lang w:val="en-US"/>
        </w:rPr>
        <w:t> […]</w:t>
      </w:r>
      <w:r>
        <w:rPr>
          <w:color w:val="000000" w:themeColor="text1"/>
          <w:lang w:val="en-US"/>
        </w:rPr>
        <w:t>”</w:t>
      </w:r>
    </w:p>
    <w:p w14:paraId="7D53F371" w14:textId="77777777" w:rsidR="009B37FB" w:rsidRDefault="009B37FB" w:rsidP="00DF2375">
      <w:pPr>
        <w:ind w:left="705" w:hanging="705"/>
        <w:rPr>
          <w:color w:val="000000" w:themeColor="text1"/>
          <w:lang w:val="en-US"/>
        </w:rPr>
      </w:pPr>
    </w:p>
    <w:p w14:paraId="0A2D94B8" w14:textId="27D63B8B" w:rsidR="00621D78" w:rsidRDefault="00621D78" w:rsidP="00621D78">
      <w:pPr>
        <w:spacing w:after="100" w:afterAutospacing="1" w:line="360" w:lineRule="auto"/>
        <w:rPr>
          <w:color w:val="000000" w:themeColor="text1"/>
          <w:lang w:val="en-US"/>
        </w:rPr>
      </w:pPr>
      <w:r w:rsidRPr="00351797">
        <w:rPr>
          <w:color w:val="000000" w:themeColor="text1"/>
          <w:lang w:val="en-US"/>
        </w:rPr>
        <w:lastRenderedPageBreak/>
        <w:t>To (new version):</w:t>
      </w:r>
    </w:p>
    <w:p w14:paraId="60B71205" w14:textId="7BE49DE7" w:rsidR="00DD7A67" w:rsidRDefault="00DD7A67" w:rsidP="00621D78">
      <w:pPr>
        <w:spacing w:after="100" w:afterAutospacing="1" w:line="360" w:lineRule="auto"/>
        <w:rPr>
          <w:color w:val="000000" w:themeColor="text1"/>
          <w:lang w:val="en-US"/>
        </w:rPr>
      </w:pPr>
      <w:r w:rsidRPr="00351797">
        <w:rPr>
          <w:color w:val="000000" w:themeColor="text1"/>
          <w:lang w:val="en-US"/>
        </w:rPr>
        <w:t> “[…]</w:t>
      </w:r>
    </w:p>
    <w:p w14:paraId="15E04418" w14:textId="77777777" w:rsidR="008222A2" w:rsidRPr="00932DF4" w:rsidRDefault="008222A2" w:rsidP="008222A2">
      <w:pPr>
        <w:pStyle w:val="ListParagraph"/>
        <w:numPr>
          <w:ilvl w:val="0"/>
          <w:numId w:val="30"/>
        </w:numPr>
        <w:rPr>
          <w:lang w:val="en-US"/>
        </w:rPr>
      </w:pPr>
      <w:bookmarkStart w:id="3" w:name="_Hlk102117682"/>
      <w:r w:rsidRPr="00932DF4">
        <w:rPr>
          <w:lang w:val="en-US"/>
        </w:rPr>
        <w:t xml:space="preserve">Must be classified in one of the following subindustries based on </w:t>
      </w:r>
      <w:r w:rsidRPr="00932DF4">
        <w:rPr>
          <w:lang w:val="en-US" w:eastAsia="en-US"/>
        </w:rPr>
        <w:t>FactSet Revere Business Industry Classification System (“RBICS”):</w:t>
      </w:r>
    </w:p>
    <w:p w14:paraId="57A11207" w14:textId="77777777" w:rsidR="008222A2" w:rsidRDefault="008222A2" w:rsidP="008222A2">
      <w:pPr>
        <w:pStyle w:val="ListParagraph"/>
        <w:rPr>
          <w:iCs/>
          <w:lang w:val="en-US"/>
        </w:rPr>
      </w:pPr>
      <w:r>
        <w:rPr>
          <w:lang w:val="en-US"/>
        </w:rPr>
        <w:t>Wind Energy Equipment Manufacturing, Photovoltaic and Solar Cells and Systems Providers, Fuel Cell Equipment and Technology Providers, Smart Grid Technology and Smart Meter Products, Mixed Renewable Energy Generation Manufacturing, China Mixed Alternative Wholesale Power, China Biomass Wholesale Power, China Decentralized Wholesale Power, China Geothermal Wholesale Power, China Hydroelectric Wholesale Power, China Solar Wholesale Power, China Wind Wholesale Power, Process Plants, Utilities and Energy Construction, Electronic Materials Manufacturing, Other Front End Processing Equipment Makers, Flat Panel Display-Specific Equipment Makers, Hazardous/Industrial Waste Disposal, Wires and Cables Manufacturing, Machine Tools Manufacturing, Lasers and Optical Instrument Manufacturing, Backup, Emergency and Standby Power Products, Architectural Glass Manufacturing, Other Industrial Electrical Product Manufacturing, Transportation Construction, Power Generation/Support Products Manufacturing, Stamping and Forging Shops, Ball and Roller Bearings Products, Electrical Systems and Equipment Manufacturing</w:t>
      </w:r>
    </w:p>
    <w:bookmarkEnd w:id="3"/>
    <w:p w14:paraId="5BBD68AB" w14:textId="77777777" w:rsid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bookmarkEnd w:id="2"/>
    <w:p w14:paraId="084BE57C" w14:textId="3E31A0C5" w:rsidR="00FF1329" w:rsidRPr="006A2F34" w:rsidRDefault="00FF1329" w:rsidP="006A2F34">
      <w:pPr>
        <w:spacing w:before="0" w:after="160" w:line="259" w:lineRule="auto"/>
        <w:jc w:val="left"/>
        <w:rPr>
          <w:b/>
          <w:bCs/>
          <w:color w:val="000000" w:themeColor="text1"/>
          <w:lang w:val="en-US"/>
        </w:rPr>
      </w:pPr>
      <w:r w:rsidRPr="006A2F34">
        <w:rPr>
          <w:b/>
          <w:bCs/>
          <w:color w:val="000000" w:themeColor="text1"/>
          <w:lang w:val="en-US"/>
        </w:rPr>
        <w:t>S</w:t>
      </w:r>
      <w:r w:rsidR="001E1D6F" w:rsidRPr="006A2F34">
        <w:rPr>
          <w:b/>
          <w:bCs/>
          <w:color w:val="000000" w:themeColor="text1"/>
          <w:lang w:val="en-US"/>
        </w:rPr>
        <w:t>ection 2.</w:t>
      </w:r>
      <w:r w:rsidR="00A77DB4">
        <w:rPr>
          <w:b/>
          <w:bCs/>
          <w:color w:val="000000" w:themeColor="text1"/>
          <w:lang w:val="en-US"/>
        </w:rPr>
        <w:t>2 Selection of the Index Components</w:t>
      </w:r>
    </w:p>
    <w:p w14:paraId="39750922"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From (old version):</w:t>
      </w:r>
    </w:p>
    <w:p w14:paraId="59EC3D69" w14:textId="77777777" w:rsidR="001E1D6F" w:rsidRDefault="001E1D6F" w:rsidP="001E1D6F">
      <w:pPr>
        <w:spacing w:after="100" w:afterAutospacing="1" w:line="360" w:lineRule="auto"/>
        <w:rPr>
          <w:color w:val="000000" w:themeColor="text1"/>
          <w:lang w:val="en-US"/>
        </w:rPr>
      </w:pPr>
      <w:r w:rsidRPr="00351797">
        <w:rPr>
          <w:color w:val="000000" w:themeColor="text1"/>
          <w:lang w:val="en-US"/>
        </w:rPr>
        <w:t> “[…]</w:t>
      </w:r>
    </w:p>
    <w:p w14:paraId="5C7A3855"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 xml:space="preserve">Top 15 by </w:t>
      </w:r>
      <w:r w:rsidRPr="001F5B08">
        <w:rPr>
          <w:bCs/>
          <w:smallCaps/>
          <w:lang w:val="en-US"/>
        </w:rPr>
        <w:t>Total Market Capitalization</w:t>
      </w:r>
      <w:r w:rsidRPr="001F5B08">
        <w:rPr>
          <w:rFonts w:eastAsia="Calibri"/>
          <w:lang w:val="en-US" w:eastAsia="en-US"/>
        </w:rPr>
        <w:t xml:space="preserve"> rank are selected for index inclusion</w:t>
      </w:r>
    </w:p>
    <w:p w14:paraId="57CFFDA1"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Existing constituents with rank from 16 to 25 are selected for index inclusion until the target constituent count of 20 is reached</w:t>
      </w:r>
    </w:p>
    <w:p w14:paraId="6141E0C7"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If there are less than 20 stocks after step b, non-constituents are selected with rank from 16 to 25 until the target constituent count of 20 is reached</w:t>
      </w:r>
    </w:p>
    <w:p w14:paraId="37592396" w14:textId="77777777" w:rsidR="00621D78" w:rsidRPr="001F5B08" w:rsidRDefault="00621D78" w:rsidP="00621D78">
      <w:pPr>
        <w:rPr>
          <w:rFonts w:eastAsia="Calibri"/>
          <w:lang w:val="en-US" w:eastAsia="en-US"/>
        </w:rPr>
      </w:pPr>
      <w:r w:rsidRPr="001F5B08">
        <w:rPr>
          <w:rFonts w:eastAsia="Calibri"/>
          <w:lang w:val="en-US" w:eastAsia="en-US"/>
        </w:rPr>
        <w:t xml:space="preserve">If less than 20 securities pass the selection criteria described above, all such securities will be selected resulting in less than 20 </w:t>
      </w:r>
      <w:r w:rsidRPr="001F5B08">
        <w:rPr>
          <w:smallCaps/>
          <w:lang w:val="en-US" w:eastAsia="en-US"/>
        </w:rPr>
        <w:t>Index Components</w:t>
      </w:r>
      <w:r w:rsidRPr="001F5B08">
        <w:rPr>
          <w:rFonts w:eastAsia="Calibri"/>
          <w:lang w:val="en-US" w:eastAsia="en-US"/>
        </w:rPr>
        <w:t>.</w:t>
      </w:r>
    </w:p>
    <w:p w14:paraId="3D72141C" w14:textId="2452F03D" w:rsidR="00621D78" w:rsidRDefault="00621D78" w:rsidP="00621D78">
      <w:pPr>
        <w:rPr>
          <w:lang w:val="en-US" w:eastAsia="en-US"/>
        </w:rPr>
      </w:pPr>
      <w:r w:rsidRPr="001F5B08">
        <w:rPr>
          <w:lang w:val="en-US" w:eastAsia="en-US"/>
        </w:rPr>
        <w:t xml:space="preserve">The selection of the </w:t>
      </w:r>
      <w:r w:rsidRPr="001F5B08">
        <w:rPr>
          <w:smallCaps/>
          <w:lang w:val="en-US" w:eastAsia="en-US"/>
        </w:rPr>
        <w:t>Index Components</w:t>
      </w:r>
      <w:r w:rsidRPr="001F5B08">
        <w:rPr>
          <w:lang w:val="en-US" w:eastAsia="en-US"/>
        </w:rPr>
        <w:t xml:space="preserve"> is fully rule-based and the </w:t>
      </w:r>
      <w:r w:rsidRPr="001F5B08">
        <w:rPr>
          <w:smallCaps/>
          <w:lang w:val="en-US" w:eastAsia="en-US"/>
        </w:rPr>
        <w:t xml:space="preserve">Index Administrator </w:t>
      </w:r>
      <w:r w:rsidRPr="001F5B08">
        <w:rPr>
          <w:lang w:val="en-US" w:eastAsia="en-US"/>
        </w:rPr>
        <w:t>cannot make any discretionary decision.</w:t>
      </w:r>
    </w:p>
    <w:p w14:paraId="15960FCE" w14:textId="7EAEEE65" w:rsidR="00621D78" w:rsidRP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386E6446" w14:textId="74E983CC"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lastRenderedPageBreak/>
        <w:t>To (new version):</w:t>
      </w:r>
    </w:p>
    <w:p w14:paraId="7E099862" w14:textId="35695599" w:rsidR="001E1D6F" w:rsidRDefault="001E1D6F" w:rsidP="001E1D6F">
      <w:pPr>
        <w:spacing w:after="100" w:afterAutospacing="1" w:line="360" w:lineRule="auto"/>
        <w:rPr>
          <w:color w:val="000000" w:themeColor="text1"/>
          <w:lang w:val="en-US"/>
        </w:rPr>
      </w:pPr>
      <w:r w:rsidRPr="00351797">
        <w:rPr>
          <w:color w:val="000000" w:themeColor="text1"/>
          <w:lang w:val="en-US"/>
        </w:rPr>
        <w:t>“[…]</w:t>
      </w:r>
    </w:p>
    <w:p w14:paraId="64FE4A33" w14:textId="77777777" w:rsidR="00DD7A67" w:rsidRDefault="00DD7A67" w:rsidP="00DD7A67">
      <w:pPr>
        <w:pStyle w:val="ListParagraph"/>
        <w:numPr>
          <w:ilvl w:val="0"/>
          <w:numId w:val="31"/>
        </w:numPr>
        <w:rPr>
          <w:lang w:val="en-US" w:eastAsia="en-US"/>
        </w:rPr>
      </w:pPr>
      <w:r>
        <w:rPr>
          <w:lang w:val="en-US" w:eastAsia="en-US"/>
        </w:rPr>
        <w:t xml:space="preserve">All eligible securities are ranked based on their </w:t>
      </w:r>
      <w:r>
        <w:rPr>
          <w:smallCaps/>
          <w:lang w:val="en-US" w:eastAsia="en-US"/>
        </w:rPr>
        <w:t>Free Float Market Capitalization</w:t>
      </w:r>
      <w:r>
        <w:rPr>
          <w:lang w:val="en-US" w:eastAsia="en-US"/>
        </w:rPr>
        <w:t xml:space="preserve"> in a descending order. </w:t>
      </w:r>
    </w:p>
    <w:p w14:paraId="0A7162C5" w14:textId="77777777" w:rsidR="00DD7A67" w:rsidRDefault="00DD7A67" w:rsidP="00DD7A67">
      <w:pPr>
        <w:pStyle w:val="ListParagraph"/>
        <w:numPr>
          <w:ilvl w:val="0"/>
          <w:numId w:val="31"/>
        </w:numPr>
        <w:rPr>
          <w:rFonts w:eastAsia="Calibri"/>
          <w:lang w:val="en-US" w:eastAsia="en-US"/>
        </w:rPr>
      </w:pPr>
      <w:r>
        <w:rPr>
          <w:rFonts w:eastAsia="Calibri"/>
          <w:lang w:val="en-US" w:eastAsia="en-US"/>
        </w:rPr>
        <w:t xml:space="preserve">Top 25 by </w:t>
      </w:r>
      <w:r>
        <w:rPr>
          <w:smallCaps/>
          <w:lang w:val="en-US" w:eastAsia="en-US"/>
        </w:rPr>
        <w:t>Free Float Market Capitalization</w:t>
      </w:r>
      <w:r>
        <w:rPr>
          <w:lang w:val="en-US" w:eastAsia="en-US"/>
        </w:rPr>
        <w:t xml:space="preserve"> </w:t>
      </w:r>
      <w:r>
        <w:rPr>
          <w:rFonts w:eastAsia="Calibri"/>
          <w:lang w:val="en-US" w:eastAsia="en-US"/>
        </w:rPr>
        <w:t>rank are selected for index inclusion.</w:t>
      </w:r>
    </w:p>
    <w:p w14:paraId="763511CA" w14:textId="77777777" w:rsidR="00C15223" w:rsidRDefault="00C15223" w:rsidP="00C15223">
      <w:pPr>
        <w:pStyle w:val="ListParagraph"/>
        <w:numPr>
          <w:ilvl w:val="0"/>
          <w:numId w:val="31"/>
        </w:numPr>
        <w:rPr>
          <w:rFonts w:eastAsia="Calibri"/>
          <w:lang w:val="en-US" w:eastAsia="en-US"/>
        </w:rPr>
      </w:pPr>
      <w:r>
        <w:rPr>
          <w:rFonts w:eastAsia="Calibri"/>
          <w:lang w:val="en-US" w:eastAsia="en-US"/>
        </w:rPr>
        <w:t>Existing constituents rank</w:t>
      </w:r>
      <w:r>
        <w:rPr>
          <w:rFonts w:eastAsia="Calibri"/>
          <w:lang w:val="en-DE" w:eastAsia="en-US"/>
        </w:rPr>
        <w:t>ed</w:t>
      </w:r>
      <w:r>
        <w:rPr>
          <w:rFonts w:eastAsia="Calibri"/>
          <w:lang w:val="en-US" w:eastAsia="en-US"/>
        </w:rPr>
        <w:t xml:space="preserve"> from 26 to 40 </w:t>
      </w:r>
      <w:r w:rsidRPr="00D82F3C">
        <w:rPr>
          <w:lang w:val="en-US" w:eastAsia="en-US"/>
        </w:rPr>
        <w:t>by</w:t>
      </w:r>
      <w:r w:rsidRPr="00C15223">
        <w:rPr>
          <w:rStyle w:val="cf01"/>
          <w:lang w:val="en-US"/>
        </w:rPr>
        <w:t xml:space="preserve"> </w:t>
      </w:r>
      <w:r w:rsidRPr="00D82F3C">
        <w:rPr>
          <w:smallCaps/>
          <w:lang w:val="en-US" w:eastAsia="en-US"/>
        </w:rPr>
        <w:t>Free Float Market Capitalization</w:t>
      </w:r>
      <w:r>
        <w:rPr>
          <w:rStyle w:val="cf01"/>
          <w:lang w:val="en-DE"/>
        </w:rPr>
        <w:t xml:space="preserve"> </w:t>
      </w:r>
      <w:r>
        <w:rPr>
          <w:rFonts w:eastAsia="Calibri"/>
          <w:lang w:val="en-US" w:eastAsia="en-US"/>
        </w:rPr>
        <w:t>are selected for index inclusion until the target constituent count of 35 is reached.</w:t>
      </w:r>
    </w:p>
    <w:p w14:paraId="6CF8579C" w14:textId="77777777" w:rsidR="00C15223" w:rsidRDefault="00C15223" w:rsidP="00C15223">
      <w:pPr>
        <w:pStyle w:val="ListParagraph"/>
        <w:numPr>
          <w:ilvl w:val="0"/>
          <w:numId w:val="31"/>
        </w:numPr>
        <w:rPr>
          <w:rFonts w:eastAsia="Calibri"/>
          <w:lang w:val="en-US" w:eastAsia="en-US"/>
        </w:rPr>
      </w:pPr>
      <w:r>
        <w:rPr>
          <w:rFonts w:eastAsia="Calibri"/>
          <w:lang w:val="en-US" w:eastAsia="en-US"/>
        </w:rPr>
        <w:t>If there are less than 35 stocks after step 3, non-constituents rank</w:t>
      </w:r>
      <w:r>
        <w:rPr>
          <w:rFonts w:eastAsia="Calibri"/>
          <w:lang w:val="en-DE" w:eastAsia="en-US"/>
        </w:rPr>
        <w:t>ed</w:t>
      </w:r>
      <w:r>
        <w:rPr>
          <w:rFonts w:eastAsia="Calibri"/>
          <w:lang w:val="en-US" w:eastAsia="en-US"/>
        </w:rPr>
        <w:t xml:space="preserve"> from 26 to 40 </w:t>
      </w:r>
      <w:r w:rsidRPr="00D82F3C">
        <w:rPr>
          <w:lang w:val="en-US" w:eastAsia="en-US"/>
        </w:rPr>
        <w:t>by</w:t>
      </w:r>
      <w:r w:rsidRPr="00C15223">
        <w:rPr>
          <w:rStyle w:val="cf01"/>
          <w:lang w:val="en-US"/>
        </w:rPr>
        <w:t xml:space="preserve"> </w:t>
      </w:r>
      <w:r w:rsidRPr="00D82F3C">
        <w:rPr>
          <w:smallCaps/>
          <w:lang w:val="en-US" w:eastAsia="en-US"/>
        </w:rPr>
        <w:t>Free Float Market Capitalization</w:t>
      </w:r>
      <w:r>
        <w:rPr>
          <w:rStyle w:val="cf01"/>
          <w:lang w:val="en-DE"/>
        </w:rPr>
        <w:t xml:space="preserve"> </w:t>
      </w:r>
      <w:r>
        <w:rPr>
          <w:rFonts w:eastAsia="Calibri"/>
          <w:lang w:val="en-US" w:eastAsia="en-US"/>
        </w:rPr>
        <w:t>until the target constituent count of 35 is reached.</w:t>
      </w:r>
    </w:p>
    <w:p w14:paraId="5CB193EC" w14:textId="77777777" w:rsidR="00DD7A67" w:rsidRDefault="00DD7A67" w:rsidP="00DD7A67">
      <w:pPr>
        <w:rPr>
          <w:rFonts w:eastAsia="Calibri"/>
          <w:lang w:val="en-US" w:eastAsia="en-US"/>
        </w:rPr>
      </w:pPr>
      <w:r>
        <w:rPr>
          <w:rFonts w:eastAsia="Calibri"/>
          <w:lang w:val="en-US" w:eastAsia="en-US"/>
        </w:rPr>
        <w:t xml:space="preserve">If less than 35 securities pass the selection criteria as described above, all such securities will be selected resulting in less than 35 </w:t>
      </w:r>
      <w:r>
        <w:rPr>
          <w:smallCaps/>
          <w:lang w:val="en-US" w:eastAsia="en-US"/>
        </w:rPr>
        <w:t>Index Components</w:t>
      </w:r>
      <w:r>
        <w:rPr>
          <w:rFonts w:eastAsia="Calibri"/>
          <w:lang w:val="en-US" w:eastAsia="en-US"/>
        </w:rPr>
        <w:t>.</w:t>
      </w:r>
    </w:p>
    <w:p w14:paraId="17FCA4CF" w14:textId="77777777" w:rsid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227DA97A" w14:textId="25DA0AA6" w:rsidR="00C15223" w:rsidRPr="006A2F34" w:rsidRDefault="00C15223" w:rsidP="00C15223">
      <w:pPr>
        <w:spacing w:before="0" w:after="160" w:line="259" w:lineRule="auto"/>
        <w:jc w:val="left"/>
        <w:rPr>
          <w:b/>
          <w:bCs/>
          <w:color w:val="000000" w:themeColor="text1"/>
          <w:lang w:val="en-US"/>
        </w:rPr>
      </w:pPr>
      <w:r w:rsidRPr="006A2F34">
        <w:rPr>
          <w:b/>
          <w:bCs/>
          <w:color w:val="000000" w:themeColor="text1"/>
          <w:lang w:val="en-US"/>
        </w:rPr>
        <w:t xml:space="preserve">Section </w:t>
      </w:r>
      <w:r>
        <w:rPr>
          <w:b/>
          <w:bCs/>
          <w:color w:val="000000" w:themeColor="text1"/>
          <w:lang w:val="en-US"/>
        </w:rPr>
        <w:t>4.1 Index Formula</w:t>
      </w:r>
    </w:p>
    <w:p w14:paraId="49DB6464"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From (old version):</w:t>
      </w:r>
    </w:p>
    <w:p w14:paraId="00A73D94" w14:textId="77777777" w:rsidR="00C15223" w:rsidRDefault="00C15223" w:rsidP="00C15223">
      <w:pPr>
        <w:spacing w:after="100" w:afterAutospacing="1" w:line="360" w:lineRule="auto"/>
        <w:rPr>
          <w:color w:val="000000" w:themeColor="text1"/>
          <w:lang w:val="en-US"/>
        </w:rPr>
      </w:pPr>
      <w:r w:rsidRPr="00351797">
        <w:rPr>
          <w:color w:val="000000" w:themeColor="text1"/>
          <w:lang w:val="en-US"/>
        </w:rPr>
        <w:t> “[…]</w:t>
      </w:r>
    </w:p>
    <w:p w14:paraId="52595274" w14:textId="77777777" w:rsidR="00C15223" w:rsidRPr="0058226C" w:rsidRDefault="00C15223" w:rsidP="00C15223">
      <w:pPr>
        <w:rPr>
          <w:lang w:val="en-US" w:eastAsia="en-US"/>
        </w:rPr>
      </w:pPr>
      <w:r w:rsidRPr="0040699D">
        <w:rPr>
          <w:lang w:val="en-US" w:eastAsia="en-US"/>
        </w:rPr>
        <w:t>The calculation is performed according to</w:t>
      </w:r>
      <w:r>
        <w:rPr>
          <w:lang w:val="en-US" w:eastAsia="en-US"/>
        </w:rPr>
        <w:t xml:space="preserve"> </w:t>
      </w:r>
      <w:r w:rsidRPr="0040699D">
        <w:rPr>
          <w:lang w:val="en-US" w:eastAsia="en-US"/>
        </w:rPr>
        <w:t xml:space="preserve">the </w:t>
      </w:r>
      <w:r w:rsidRPr="003C7DF7">
        <w:rPr>
          <w:lang w:val="en-US" w:eastAsia="en-US"/>
        </w:rPr>
        <w:t>Equity</w:t>
      </w:r>
      <w:r w:rsidRPr="00877629">
        <w:rPr>
          <w:lang w:val="en-US" w:eastAsia="en-US"/>
        </w:rPr>
        <w:t xml:space="preserve"> </w:t>
      </w:r>
      <w:r w:rsidRPr="003C7DF7">
        <w:rPr>
          <w:lang w:val="en-US" w:eastAsia="en-US"/>
        </w:rPr>
        <w:t>Index</w:t>
      </w:r>
      <w:r w:rsidRPr="00E00D2A">
        <w:rPr>
          <w:lang w:val="en-US" w:eastAsia="en-US"/>
        </w:rPr>
        <w:t xml:space="preserve"> Methodology</w:t>
      </w:r>
      <w:r>
        <w:rPr>
          <w:lang w:val="en-US" w:eastAsia="en-US"/>
        </w:rPr>
        <w:t xml:space="preserve">, which </w:t>
      </w:r>
      <w:r w:rsidRPr="0049196E">
        <w:rPr>
          <w:lang w:val="en-US"/>
        </w:rPr>
        <w:t xml:space="preserve">is available </w:t>
      </w:r>
      <w:r>
        <w:rPr>
          <w:lang w:val="en-US"/>
        </w:rPr>
        <w:t xml:space="preserve">on the </w:t>
      </w:r>
      <w:r w:rsidRPr="007C78D8">
        <w:rPr>
          <w:smallCaps/>
          <w:lang w:val="en-US"/>
        </w:rPr>
        <w:t>Solactive</w:t>
      </w:r>
      <w:r>
        <w:rPr>
          <w:lang w:val="en-US"/>
        </w:rPr>
        <w:t xml:space="preserve"> website: </w:t>
      </w:r>
      <w:hyperlink r:id="rId11" w:history="1">
        <w:r w:rsidRPr="0058226C">
          <w:rPr>
            <w:rStyle w:val="Hyperlink"/>
            <w:lang w:val="en-US"/>
          </w:rPr>
          <w:t>https://www.solactive.com/documents/equity-index-methodology/</w:t>
        </w:r>
      </w:hyperlink>
      <w:r w:rsidRPr="0058226C">
        <w:rPr>
          <w:lang w:val="en-US"/>
        </w:rPr>
        <w:t>.</w:t>
      </w:r>
      <w:r w:rsidRPr="0058226C">
        <w:rPr>
          <w:lang w:val="en-US" w:eastAsia="en-US"/>
        </w:rPr>
        <w:t xml:space="preserve"> </w:t>
      </w:r>
      <w:r w:rsidRPr="0058226C">
        <w:rPr>
          <w:rFonts w:eastAsia="Calibri"/>
          <w:lang w:val="en-US" w:eastAsia="en-US"/>
        </w:rPr>
        <w:t>The standard index formula stipulates that the level of the</w:t>
      </w:r>
      <w:r w:rsidRPr="0058226C">
        <w:rPr>
          <w:rFonts w:eastAsia="Calibri"/>
          <w:smallCaps/>
          <w:lang w:val="en-US" w:eastAsia="en-US"/>
        </w:rPr>
        <w:t xml:space="preserve"> Index</w:t>
      </w:r>
      <w:r w:rsidRPr="0058226C">
        <w:rPr>
          <w:rFonts w:eastAsia="Calibri"/>
          <w:lang w:val="en-US" w:eastAsia="en-US"/>
        </w:rPr>
        <w:t xml:space="preserve"> changes based on the change of the prices of its </w:t>
      </w:r>
      <w:r w:rsidRPr="0058226C">
        <w:rPr>
          <w:rFonts w:eastAsia="Calibri"/>
          <w:smallCaps/>
          <w:lang w:val="en-US" w:eastAsia="en-US"/>
        </w:rPr>
        <w:t>Index Components</w:t>
      </w:r>
      <w:r w:rsidRPr="0058226C">
        <w:rPr>
          <w:rFonts w:eastAsia="Calibri"/>
          <w:lang w:val="en-US" w:eastAsia="en-US"/>
        </w:rPr>
        <w:t xml:space="preserve"> taking into account their weight in the </w:t>
      </w:r>
      <w:r w:rsidRPr="0058226C">
        <w:rPr>
          <w:rFonts w:eastAsia="Calibri"/>
          <w:smallCaps/>
          <w:lang w:val="en-US" w:eastAsia="en-US"/>
        </w:rPr>
        <w:t>Index</w:t>
      </w:r>
      <w:r w:rsidRPr="0058226C">
        <w:rPr>
          <w:rFonts w:eastAsia="Calibri"/>
          <w:lang w:val="en-US" w:eastAsia="en-US"/>
        </w:rPr>
        <w:t xml:space="preserve"> and any currency conversion in case the price of an </w:t>
      </w:r>
      <w:r w:rsidRPr="0058226C">
        <w:rPr>
          <w:rFonts w:eastAsia="Calibri"/>
          <w:smallCaps/>
          <w:lang w:val="en-US" w:eastAsia="en-US"/>
        </w:rPr>
        <w:t>Index Component</w:t>
      </w:r>
      <w:r w:rsidRPr="0058226C">
        <w:rPr>
          <w:rFonts w:eastAsia="Calibri"/>
          <w:lang w:val="en-US" w:eastAsia="en-US"/>
        </w:rPr>
        <w:t xml:space="preserve"> is quoted in a currency other than the </w:t>
      </w:r>
      <w:r w:rsidRPr="0058226C">
        <w:rPr>
          <w:rFonts w:eastAsia="Calibri"/>
          <w:smallCaps/>
          <w:lang w:val="en-US" w:eastAsia="en-US"/>
        </w:rPr>
        <w:t>Index Currency</w:t>
      </w:r>
      <w:r w:rsidRPr="0058226C">
        <w:rPr>
          <w:rFonts w:eastAsia="Calibri"/>
          <w:lang w:val="en-US" w:eastAsia="en-US"/>
        </w:rPr>
        <w:t>.</w:t>
      </w:r>
    </w:p>
    <w:p w14:paraId="47BD20A7" w14:textId="77777777" w:rsidR="00C15223" w:rsidRDefault="00C15223" w:rsidP="00C15223">
      <w:pPr>
        <w:rPr>
          <w:rFonts w:eastAsia="Calibri"/>
          <w:lang w:val="en-US" w:eastAsia="en-US"/>
        </w:rPr>
      </w:pPr>
      <w:r w:rsidRPr="0058226C">
        <w:rPr>
          <w:lang w:val="en-US" w:eastAsia="en-US"/>
        </w:rPr>
        <w:t xml:space="preserve">Any dividends or other distributions are reinvested back into the </w:t>
      </w:r>
      <w:r w:rsidRPr="0058226C">
        <w:rPr>
          <w:smallCaps/>
          <w:lang w:val="en-US" w:eastAsia="en-US"/>
        </w:rPr>
        <w:t>Index Component</w:t>
      </w:r>
      <w:r w:rsidRPr="0058226C">
        <w:rPr>
          <w:lang w:val="en-US" w:eastAsia="en-US"/>
        </w:rPr>
        <w:t xml:space="preserve"> paying the dividend or other distribution at the opening of the effective date (the so called ex-date) of the payment of such dividend or other distribution.</w:t>
      </w:r>
    </w:p>
    <w:p w14:paraId="7B009592" w14:textId="5BDE170A" w:rsidR="00C15223" w:rsidRPr="00DD7A67" w:rsidRDefault="00C15223" w:rsidP="00C15223">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6076FE28"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To (new version):</w:t>
      </w:r>
    </w:p>
    <w:p w14:paraId="50012D5B" w14:textId="77777777" w:rsidR="00C15223" w:rsidRDefault="00C15223" w:rsidP="00C15223">
      <w:pPr>
        <w:spacing w:after="100" w:afterAutospacing="1" w:line="360" w:lineRule="auto"/>
        <w:rPr>
          <w:color w:val="000000" w:themeColor="text1"/>
          <w:lang w:val="en-US"/>
        </w:rPr>
      </w:pPr>
      <w:r w:rsidRPr="00351797">
        <w:rPr>
          <w:color w:val="000000" w:themeColor="text1"/>
          <w:lang w:val="en-US"/>
        </w:rPr>
        <w:t>“[…]</w:t>
      </w:r>
    </w:p>
    <w:p w14:paraId="5BB424C4" w14:textId="77777777" w:rsidR="00C15223" w:rsidRDefault="00C15223" w:rsidP="00C15223">
      <w:pPr>
        <w:rPr>
          <w:lang w:val="en-US" w:eastAsia="en-US"/>
        </w:rPr>
      </w:pPr>
      <w:r w:rsidRPr="0040699D">
        <w:rPr>
          <w:lang w:val="en-US" w:eastAsia="en-US"/>
        </w:rPr>
        <w:lastRenderedPageBreak/>
        <w:t>The calculation is performed according to</w:t>
      </w:r>
      <w:r>
        <w:rPr>
          <w:lang w:val="en-US" w:eastAsia="en-US"/>
        </w:rPr>
        <w:t xml:space="preserve"> </w:t>
      </w:r>
      <w:r w:rsidRPr="0040699D">
        <w:rPr>
          <w:lang w:val="en-US" w:eastAsia="en-US"/>
        </w:rPr>
        <w:t xml:space="preserve">the </w:t>
      </w:r>
      <w:r w:rsidRPr="003C7DF7">
        <w:rPr>
          <w:lang w:val="en-US" w:eastAsia="en-US"/>
        </w:rPr>
        <w:t>Equity</w:t>
      </w:r>
      <w:r w:rsidRPr="00877629">
        <w:rPr>
          <w:lang w:val="en-US" w:eastAsia="en-US"/>
        </w:rPr>
        <w:t xml:space="preserve"> </w:t>
      </w:r>
      <w:r w:rsidRPr="003C7DF7">
        <w:rPr>
          <w:lang w:val="en-US" w:eastAsia="en-US"/>
        </w:rPr>
        <w:t>Index</w:t>
      </w:r>
      <w:r w:rsidRPr="00E00D2A">
        <w:rPr>
          <w:lang w:val="en-US" w:eastAsia="en-US"/>
        </w:rPr>
        <w:t xml:space="preserve"> Methodology</w:t>
      </w:r>
      <w:r>
        <w:rPr>
          <w:lang w:val="en-US" w:eastAsia="en-US"/>
        </w:rPr>
        <w:t xml:space="preserve">, which </w:t>
      </w:r>
      <w:r w:rsidRPr="0049196E">
        <w:rPr>
          <w:lang w:val="en-US"/>
        </w:rPr>
        <w:t xml:space="preserve">is available </w:t>
      </w:r>
      <w:r>
        <w:rPr>
          <w:lang w:val="en-US"/>
        </w:rPr>
        <w:t xml:space="preserve">on the </w:t>
      </w:r>
      <w:r w:rsidRPr="007C78D8">
        <w:rPr>
          <w:smallCaps/>
          <w:lang w:val="en-US"/>
        </w:rPr>
        <w:t>Solactive</w:t>
      </w:r>
      <w:r>
        <w:rPr>
          <w:lang w:val="en-US"/>
        </w:rPr>
        <w:t xml:space="preserve"> website: </w:t>
      </w:r>
      <w:hyperlink r:id="rId12" w:history="1">
        <w:r w:rsidRPr="00CA4E40">
          <w:rPr>
            <w:rStyle w:val="Hyperlink"/>
            <w:lang w:val="en-US"/>
          </w:rPr>
          <w:t>https://www.solactive.com/documents/equity-i</w:t>
        </w:r>
        <w:r w:rsidRPr="007C78D8">
          <w:rPr>
            <w:rStyle w:val="Hyperlink"/>
            <w:lang w:val="en-US"/>
          </w:rPr>
          <w:t>ndex</w:t>
        </w:r>
        <w:r w:rsidRPr="00CA4E40">
          <w:rPr>
            <w:rStyle w:val="Hyperlink"/>
            <w:lang w:val="en-US"/>
          </w:rPr>
          <w:t>-methodology/</w:t>
        </w:r>
      </w:hyperlink>
      <w:r w:rsidRPr="00D64A97">
        <w:rPr>
          <w:lang w:val="en-US"/>
        </w:rPr>
        <w:t>.</w:t>
      </w:r>
      <w:r>
        <w:rPr>
          <w:lang w:val="en-US" w:eastAsia="en-US"/>
        </w:rPr>
        <w:t xml:space="preserve"> </w:t>
      </w:r>
      <w:r>
        <w:rPr>
          <w:rFonts w:eastAsia="Calibri"/>
          <w:lang w:val="en-US" w:eastAsia="en-US"/>
        </w:rPr>
        <w:t xml:space="preserve">The </w:t>
      </w:r>
      <w:r w:rsidRPr="001A79A2">
        <w:rPr>
          <w:rFonts w:eastAsia="Calibri"/>
          <w:lang w:val="en-US" w:eastAsia="en-US"/>
        </w:rPr>
        <w:t>divisor</w:t>
      </w:r>
      <w:r>
        <w:rPr>
          <w:rFonts w:eastAsia="Calibri"/>
          <w:lang w:val="en-US" w:eastAsia="en-US"/>
        </w:rPr>
        <w:t xml:space="preserve"> i</w:t>
      </w:r>
      <w:r w:rsidRPr="005B7E21">
        <w:rPr>
          <w:rFonts w:eastAsia="Calibri"/>
          <w:lang w:val="en-US" w:eastAsia="en-US"/>
        </w:rPr>
        <w:t>ndex</w:t>
      </w:r>
      <w:r>
        <w:rPr>
          <w:rFonts w:eastAsia="Calibri"/>
          <w:lang w:val="en-US" w:eastAsia="en-US"/>
        </w:rPr>
        <w:t xml:space="preserve"> formula stipulates</w:t>
      </w:r>
      <w:r w:rsidRPr="00C767A2">
        <w:rPr>
          <w:rFonts w:eastAsia="Calibri"/>
          <w:lang w:val="en-US" w:eastAsia="en-US"/>
        </w:rPr>
        <w:t xml:space="preserve"> that </w:t>
      </w:r>
      <w:r>
        <w:rPr>
          <w:rFonts w:eastAsia="Calibri"/>
          <w:lang w:val="en-US" w:eastAsia="en-US"/>
        </w:rPr>
        <w:t>the level of the</w:t>
      </w:r>
      <w:r w:rsidRPr="005F4698">
        <w:rPr>
          <w:rFonts w:eastAsia="Calibri"/>
          <w:smallCaps/>
          <w:lang w:val="en-US" w:eastAsia="en-US"/>
        </w:rPr>
        <w:t xml:space="preserve"> Index</w:t>
      </w:r>
      <w:r>
        <w:rPr>
          <w:rFonts w:eastAsia="Calibri"/>
          <w:lang w:val="en-US" w:eastAsia="en-US"/>
        </w:rPr>
        <w:t xml:space="preserve"> changes based on the change of the p</w:t>
      </w:r>
      <w:r w:rsidRPr="00C767A2">
        <w:rPr>
          <w:rFonts w:eastAsia="Calibri"/>
          <w:lang w:val="en-US" w:eastAsia="en-US"/>
        </w:rPr>
        <w:t xml:space="preserve">rices of its </w:t>
      </w:r>
      <w:r w:rsidRPr="000515C0">
        <w:rPr>
          <w:rFonts w:eastAsia="Calibri"/>
          <w:smallCaps/>
          <w:lang w:val="en-US" w:eastAsia="en-US"/>
        </w:rPr>
        <w:t>Index</w:t>
      </w:r>
      <w:r w:rsidRPr="00980907">
        <w:rPr>
          <w:rFonts w:eastAsia="Calibri"/>
          <w:smallCaps/>
          <w:lang w:val="en-US" w:eastAsia="en-US"/>
        </w:rPr>
        <w:t xml:space="preserve"> Components</w:t>
      </w:r>
      <w:r>
        <w:rPr>
          <w:rFonts w:eastAsia="Calibri"/>
          <w:lang w:val="en-US" w:eastAsia="en-US"/>
        </w:rPr>
        <w:t xml:space="preserve"> taking into account their weight in the </w:t>
      </w:r>
      <w:r w:rsidRPr="000515C0">
        <w:rPr>
          <w:rFonts w:eastAsia="Calibri"/>
          <w:smallCaps/>
          <w:lang w:val="en-US" w:eastAsia="en-US"/>
        </w:rPr>
        <w:t>Index</w:t>
      </w:r>
      <w:r>
        <w:rPr>
          <w:rFonts w:eastAsia="Calibri"/>
          <w:lang w:val="en-US" w:eastAsia="en-US"/>
        </w:rPr>
        <w:t xml:space="preserve"> and any currency conversion in case the price of an </w:t>
      </w:r>
      <w:r w:rsidRPr="000515C0">
        <w:rPr>
          <w:rFonts w:eastAsia="Calibri"/>
          <w:smallCaps/>
          <w:lang w:val="en-US" w:eastAsia="en-US"/>
        </w:rPr>
        <w:t>Index</w:t>
      </w:r>
      <w:r w:rsidRPr="00980907">
        <w:rPr>
          <w:rFonts w:eastAsia="Calibri"/>
          <w:smallCaps/>
          <w:lang w:val="en-US" w:eastAsia="en-US"/>
        </w:rPr>
        <w:t xml:space="preserve"> Component</w:t>
      </w:r>
      <w:r>
        <w:rPr>
          <w:rFonts w:eastAsia="Calibri"/>
          <w:lang w:val="en-US" w:eastAsia="en-US"/>
        </w:rPr>
        <w:t xml:space="preserve"> is quoted in a currency other than the </w:t>
      </w:r>
      <w:r w:rsidRPr="000515C0">
        <w:rPr>
          <w:rFonts w:eastAsia="Calibri"/>
          <w:smallCaps/>
          <w:lang w:val="en-US" w:eastAsia="en-US"/>
        </w:rPr>
        <w:t>Index</w:t>
      </w:r>
      <w:r w:rsidRPr="00980907">
        <w:rPr>
          <w:rFonts w:eastAsia="Calibri"/>
          <w:smallCaps/>
          <w:lang w:val="en-US" w:eastAsia="en-US"/>
        </w:rPr>
        <w:t xml:space="preserve"> Currency</w:t>
      </w:r>
      <w:r>
        <w:rPr>
          <w:rFonts w:eastAsia="Calibri"/>
          <w:lang w:val="en-US" w:eastAsia="en-US"/>
        </w:rPr>
        <w:t>.</w:t>
      </w:r>
    </w:p>
    <w:p w14:paraId="28F36159" w14:textId="77777777" w:rsidR="00C15223" w:rsidRDefault="00C15223" w:rsidP="00C15223">
      <w:pPr>
        <w:rPr>
          <w:rFonts w:eastAsia="Calibri"/>
          <w:lang w:val="en-US" w:eastAsia="en-US"/>
        </w:rPr>
      </w:pPr>
      <w:r>
        <w:rPr>
          <w:lang w:val="en-US" w:eastAsia="en-US"/>
        </w:rPr>
        <w:t xml:space="preserve">Any dividends or other distributions are reinvested </w:t>
      </w:r>
      <w:r w:rsidRPr="003676EA">
        <w:rPr>
          <w:lang w:val="en-US" w:eastAsia="en-US"/>
        </w:rPr>
        <w:t xml:space="preserve">across the entire basket of </w:t>
      </w:r>
      <w:r w:rsidRPr="003676EA">
        <w:rPr>
          <w:smallCaps/>
          <w:lang w:val="en-US" w:eastAsia="en-US"/>
        </w:rPr>
        <w:t>Index Components</w:t>
      </w:r>
      <w:r w:rsidRPr="003676EA">
        <w:rPr>
          <w:lang w:val="en-US" w:eastAsia="en-US"/>
        </w:rPr>
        <w:t xml:space="preserve"> by means of a divisor</w:t>
      </w:r>
      <w:r>
        <w:rPr>
          <w:lang w:val="en-US" w:eastAsia="en-US"/>
        </w:rPr>
        <w:t xml:space="preserve"> at the </w:t>
      </w:r>
      <w:r w:rsidRPr="001A79A2">
        <w:rPr>
          <w:lang w:val="en-US" w:eastAsia="en-US"/>
        </w:rPr>
        <w:t>opening</w:t>
      </w:r>
      <w:r>
        <w:rPr>
          <w:lang w:val="en-US" w:eastAsia="en-US"/>
        </w:rPr>
        <w:t xml:space="preserve"> of the effective date (the so-called ex-date) of the payment of such dividend or other distribution.</w:t>
      </w:r>
    </w:p>
    <w:p w14:paraId="082D4E91" w14:textId="45E11AEF" w:rsidR="00C15223" w:rsidRDefault="00C15223" w:rsidP="00C15223">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26A99255" w14:textId="0211F635" w:rsidR="00C15223" w:rsidRPr="006A2F34" w:rsidRDefault="00C15223" w:rsidP="00C15223">
      <w:pPr>
        <w:spacing w:before="0" w:after="160" w:line="259" w:lineRule="auto"/>
        <w:jc w:val="left"/>
        <w:rPr>
          <w:b/>
          <w:bCs/>
          <w:color w:val="000000" w:themeColor="text1"/>
          <w:lang w:val="en-US"/>
        </w:rPr>
      </w:pPr>
      <w:r w:rsidRPr="006A2F34">
        <w:rPr>
          <w:b/>
          <w:bCs/>
          <w:color w:val="000000" w:themeColor="text1"/>
          <w:lang w:val="en-US"/>
        </w:rPr>
        <w:t xml:space="preserve">Section </w:t>
      </w:r>
      <w:r>
        <w:rPr>
          <w:b/>
          <w:bCs/>
          <w:color w:val="000000" w:themeColor="text1"/>
          <w:lang w:val="en-US"/>
        </w:rPr>
        <w:t>4.2 Accuracy</w:t>
      </w:r>
    </w:p>
    <w:p w14:paraId="0604F79C"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From (old version):</w:t>
      </w:r>
    </w:p>
    <w:p w14:paraId="4643C340" w14:textId="77777777" w:rsidR="00C15223" w:rsidRDefault="00C15223" w:rsidP="00C15223">
      <w:pPr>
        <w:rPr>
          <w:lang w:val="en-US"/>
        </w:rPr>
      </w:pPr>
      <w:r w:rsidRPr="00014972">
        <w:rPr>
          <w:lang w:val="en-US"/>
        </w:rPr>
        <w:t xml:space="preserve">The </w:t>
      </w:r>
      <w:r>
        <w:rPr>
          <w:lang w:val="en-US"/>
        </w:rPr>
        <w:t xml:space="preserve">level of the </w:t>
      </w:r>
      <w:r w:rsidRPr="005F4698">
        <w:rPr>
          <w:smallCaps/>
          <w:lang w:val="en-US"/>
        </w:rPr>
        <w:t>Index</w:t>
      </w:r>
      <w:r w:rsidRPr="00014972">
        <w:rPr>
          <w:lang w:val="en-US"/>
        </w:rPr>
        <w:t xml:space="preserve"> will be rounded to </w:t>
      </w:r>
      <w:r>
        <w:rPr>
          <w:lang w:val="en-US"/>
        </w:rPr>
        <w:t>two</w:t>
      </w:r>
      <w:r w:rsidRPr="00014972">
        <w:rPr>
          <w:lang w:val="en-US"/>
        </w:rPr>
        <w:t xml:space="preserve"> decimal places. </w:t>
      </w:r>
      <w:r w:rsidRPr="00980907">
        <w:rPr>
          <w:smallCaps/>
          <w:lang w:val="en-US"/>
        </w:rPr>
        <w:t>Trading Prices</w:t>
      </w:r>
      <w:r>
        <w:rPr>
          <w:lang w:val="en-US"/>
        </w:rPr>
        <w:t xml:space="preserve"> and foreign e</w:t>
      </w:r>
      <w:r w:rsidRPr="009C7199">
        <w:rPr>
          <w:lang w:val="en-US"/>
        </w:rPr>
        <w:t>xchange</w:t>
      </w:r>
      <w:r>
        <w:rPr>
          <w:lang w:val="en-US"/>
        </w:rPr>
        <w:t xml:space="preserve"> rates will be rounded to six decimal places</w:t>
      </w:r>
      <w:r w:rsidRPr="00A66375">
        <w:rPr>
          <w:lang w:val="en-US"/>
        </w:rPr>
        <w:t>.</w:t>
      </w:r>
    </w:p>
    <w:p w14:paraId="6F780938" w14:textId="27D1EA0C" w:rsidR="00C15223" w:rsidRPr="00C15223" w:rsidRDefault="00E53E4C" w:rsidP="00C15223">
      <w:pPr>
        <w:rPr>
          <w:lang w:val="en-US"/>
        </w:rPr>
      </w:pPr>
      <w:r>
        <w:rPr>
          <w:color w:val="000000" w:themeColor="text1"/>
          <w:lang w:val="en-US"/>
        </w:rPr>
        <w:br/>
      </w:r>
      <w:r w:rsidR="00C15223" w:rsidRPr="00351797">
        <w:rPr>
          <w:color w:val="000000" w:themeColor="text1"/>
          <w:lang w:val="en-US"/>
        </w:rPr>
        <w:t>To (new version):</w:t>
      </w:r>
    </w:p>
    <w:p w14:paraId="627BD53D" w14:textId="77777777" w:rsidR="00E53E4C" w:rsidRPr="008E7C4A" w:rsidRDefault="00E53E4C" w:rsidP="00E53E4C">
      <w:pPr>
        <w:rPr>
          <w:lang w:val="en-DE"/>
        </w:rPr>
      </w:pPr>
      <w:r w:rsidRPr="00014972">
        <w:rPr>
          <w:lang w:val="en-US"/>
        </w:rPr>
        <w:t xml:space="preserve">The </w:t>
      </w:r>
      <w:r>
        <w:rPr>
          <w:lang w:val="en-US"/>
        </w:rPr>
        <w:t xml:space="preserve">level of the </w:t>
      </w:r>
      <w:r w:rsidRPr="005F4698">
        <w:rPr>
          <w:smallCaps/>
          <w:lang w:val="en-US"/>
        </w:rPr>
        <w:t>Index</w:t>
      </w:r>
      <w:r w:rsidRPr="00014972">
        <w:rPr>
          <w:lang w:val="en-US"/>
        </w:rPr>
        <w:t xml:space="preserve"> will be rounded to </w:t>
      </w:r>
      <w:r w:rsidRPr="001A79A2">
        <w:rPr>
          <w:iCs/>
          <w:lang w:val="en-US" w:eastAsia="en-US"/>
        </w:rPr>
        <w:t>two</w:t>
      </w:r>
      <w:r w:rsidRPr="00014972">
        <w:rPr>
          <w:lang w:val="en-US"/>
        </w:rPr>
        <w:t xml:space="preserve"> decimal places.</w:t>
      </w:r>
      <w:r>
        <w:rPr>
          <w:lang w:val="en-US"/>
        </w:rPr>
        <w:t xml:space="preserve"> </w:t>
      </w:r>
      <w:r w:rsidRPr="00214D47">
        <w:rPr>
          <w:lang w:val="en-US"/>
        </w:rPr>
        <w:t>Divisors will be rounded to six decimal places</w:t>
      </w:r>
      <w:r>
        <w:rPr>
          <w:lang w:val="en-US"/>
        </w:rPr>
        <w:t xml:space="preserve">. </w:t>
      </w:r>
      <w:r w:rsidRPr="00980907">
        <w:rPr>
          <w:smallCaps/>
          <w:lang w:val="en-US"/>
        </w:rPr>
        <w:t>Trading Prices</w:t>
      </w:r>
      <w:r>
        <w:rPr>
          <w:lang w:val="en-US"/>
        </w:rPr>
        <w:t xml:space="preserve"> and foreign e</w:t>
      </w:r>
      <w:r w:rsidRPr="009C7199">
        <w:rPr>
          <w:lang w:val="en-US"/>
        </w:rPr>
        <w:t>xchange</w:t>
      </w:r>
      <w:r>
        <w:rPr>
          <w:lang w:val="en-US"/>
        </w:rPr>
        <w:t xml:space="preserve"> rates will be rounded to six decimal places</w:t>
      </w:r>
      <w:r>
        <w:rPr>
          <w:lang w:val="en-DE"/>
        </w:rPr>
        <w:t>.</w:t>
      </w:r>
    </w:p>
    <w:p w14:paraId="70CA03CF" w14:textId="77777777" w:rsidR="00A77DB4" w:rsidRDefault="00A77DB4" w:rsidP="00A77DB4">
      <w:pPr>
        <w:spacing w:before="0" w:after="160" w:line="259" w:lineRule="auto"/>
        <w:jc w:val="left"/>
        <w:rPr>
          <w:b/>
          <w:bCs/>
          <w:lang w:val="en-US" w:eastAsia="en-US"/>
        </w:rPr>
      </w:pPr>
    </w:p>
    <w:p w14:paraId="7735A086" w14:textId="782D5B95" w:rsidR="00A77DB4" w:rsidRDefault="00A77DB4" w:rsidP="00A77DB4">
      <w:pPr>
        <w:spacing w:before="0" w:after="160" w:line="259" w:lineRule="auto"/>
        <w:jc w:val="left"/>
        <w:rPr>
          <w:lang w:val="en-US" w:eastAsia="en-US"/>
        </w:rPr>
      </w:pPr>
      <w:r w:rsidRPr="006A2F34">
        <w:rPr>
          <w:b/>
          <w:bCs/>
          <w:lang w:val="en-US" w:eastAsia="en-US"/>
        </w:rPr>
        <w:t xml:space="preserve">Section </w:t>
      </w:r>
      <w:r>
        <w:rPr>
          <w:b/>
          <w:bCs/>
          <w:lang w:val="en-US" w:eastAsia="en-US"/>
        </w:rPr>
        <w:t>6 Definitions</w:t>
      </w:r>
    </w:p>
    <w:p w14:paraId="55F969F0" w14:textId="1B5BDCFB" w:rsidR="00A77DB4" w:rsidRPr="00DD7A67" w:rsidRDefault="00A77DB4" w:rsidP="00A77DB4">
      <w:pPr>
        <w:spacing w:after="100" w:afterAutospacing="1" w:line="360" w:lineRule="auto"/>
        <w:rPr>
          <w:color w:val="000000" w:themeColor="text1"/>
          <w:lang w:val="en-DE"/>
        </w:rPr>
      </w:pPr>
      <w:r w:rsidRPr="00DD7A67">
        <w:rPr>
          <w:color w:val="000000" w:themeColor="text1"/>
          <w:lang w:val="en-DE"/>
        </w:rPr>
        <w:t xml:space="preserve">The following </w:t>
      </w:r>
      <w:r w:rsidR="00C15223">
        <w:rPr>
          <w:color w:val="000000" w:themeColor="text1"/>
          <w:lang w:val="en-DE"/>
        </w:rPr>
        <w:t xml:space="preserve">definition is </w:t>
      </w:r>
      <w:r w:rsidR="00C15223" w:rsidRPr="00DD7A67">
        <w:rPr>
          <w:color w:val="000000" w:themeColor="text1"/>
          <w:lang w:val="en-DE"/>
        </w:rPr>
        <w:t xml:space="preserve">proposed to be </w:t>
      </w:r>
      <w:r w:rsidR="00C15223">
        <w:rPr>
          <w:color w:val="000000" w:themeColor="text1"/>
          <w:lang w:val="en-US"/>
        </w:rPr>
        <w:t>removed</w:t>
      </w:r>
      <w:r w:rsidR="00C15223" w:rsidRPr="00DD7A67">
        <w:rPr>
          <w:color w:val="000000" w:themeColor="text1"/>
          <w:lang w:val="en-DE"/>
        </w:rPr>
        <w:t>:</w:t>
      </w:r>
    </w:p>
    <w:p w14:paraId="5AA51D31" w14:textId="21A83411" w:rsidR="00A77DB4" w:rsidRDefault="00A77DB4" w:rsidP="00A77DB4">
      <w:pPr>
        <w:rPr>
          <w:lang w:val="en-US"/>
        </w:rPr>
      </w:pPr>
      <w:r w:rsidRPr="00CC2027">
        <w:rPr>
          <w:lang w:val="en-US"/>
        </w:rPr>
        <w:t>The</w:t>
      </w:r>
      <w:r>
        <w:rPr>
          <w:lang w:val="en-US"/>
        </w:rPr>
        <w:t xml:space="preserve"> </w:t>
      </w:r>
      <w:r w:rsidRPr="00CC2027">
        <w:rPr>
          <w:lang w:val="en-US"/>
        </w:rPr>
        <w:t>”Total</w:t>
      </w:r>
      <w:r w:rsidRPr="00A77DB4">
        <w:rPr>
          <w:lang w:val="en-US"/>
        </w:rPr>
        <w:t xml:space="preserve"> Market Capitalization</w:t>
      </w:r>
      <w:r>
        <w:rPr>
          <w:lang w:val="en-US"/>
        </w:rPr>
        <w:t>”</w:t>
      </w:r>
      <w:r w:rsidRPr="00CC2027">
        <w:rPr>
          <w:lang w:val="en-US"/>
        </w:rPr>
        <w:t xml:space="preserve"> is with regard to each of the securities in the </w:t>
      </w:r>
      <w:r w:rsidRPr="000515C0">
        <w:rPr>
          <w:smallCaps/>
          <w:lang w:val="en-US"/>
        </w:rPr>
        <w:t>Index</w:t>
      </w:r>
      <w:r w:rsidRPr="00CC2027">
        <w:rPr>
          <w:lang w:val="en-US"/>
        </w:rPr>
        <w:t xml:space="preserve"> on a </w:t>
      </w:r>
      <w:r w:rsidRPr="00980907">
        <w:rPr>
          <w:smallCaps/>
          <w:lang w:val="en-US"/>
        </w:rPr>
        <w:t>Selection Day</w:t>
      </w:r>
      <w:r w:rsidRPr="00CC2027">
        <w:rPr>
          <w:lang w:val="en-US"/>
        </w:rPr>
        <w:t xml:space="preserve"> the </w:t>
      </w:r>
      <w:r>
        <w:rPr>
          <w:lang w:val="en-US"/>
        </w:rPr>
        <w:t xml:space="preserve">sum of all </w:t>
      </w:r>
      <w:r w:rsidRPr="00980907">
        <w:rPr>
          <w:smallCaps/>
          <w:lang w:val="en-US"/>
        </w:rPr>
        <w:t>Share Class Market Capitalization</w:t>
      </w:r>
      <w:r>
        <w:rPr>
          <w:lang w:val="en-US"/>
        </w:rPr>
        <w:t>s of a company.</w:t>
      </w:r>
    </w:p>
    <w:p w14:paraId="736EB766" w14:textId="21CDC664" w:rsidR="00A77DB4" w:rsidRDefault="00A77DB4" w:rsidP="00A77DB4">
      <w:pPr>
        <w:spacing w:after="100" w:afterAutospacing="1" w:line="360" w:lineRule="auto"/>
        <w:rPr>
          <w:color w:val="000000" w:themeColor="text1"/>
          <w:lang w:val="en-DE"/>
        </w:rPr>
      </w:pPr>
      <w:r>
        <w:rPr>
          <w:color w:val="000000" w:themeColor="text1"/>
          <w:lang w:val="en-DE"/>
        </w:rPr>
        <w:t xml:space="preserve">The following definitions </w:t>
      </w:r>
      <w:r w:rsidR="00C15223">
        <w:rPr>
          <w:color w:val="000000" w:themeColor="text1"/>
          <w:lang w:val="en-US"/>
        </w:rPr>
        <w:t>is</w:t>
      </w:r>
      <w:r>
        <w:rPr>
          <w:color w:val="000000" w:themeColor="text1"/>
          <w:lang w:val="en-DE"/>
        </w:rPr>
        <w:t xml:space="preserve"> proposed to be included:</w:t>
      </w:r>
    </w:p>
    <w:p w14:paraId="28DE3805" w14:textId="2A6C77F5" w:rsidR="00E53E4C" w:rsidRDefault="00A77DB4" w:rsidP="008222A2">
      <w:pPr>
        <w:rPr>
          <w:b/>
          <w:bCs/>
          <w:sz w:val="28"/>
          <w:szCs w:val="28"/>
          <w:u w:val="single"/>
          <w:lang w:val="en-GB"/>
        </w:rPr>
      </w:pPr>
      <w:r w:rsidRPr="00CC2027">
        <w:rPr>
          <w:lang w:val="en-US"/>
        </w:rPr>
        <w:t>”</w:t>
      </w:r>
      <w:r w:rsidRPr="00A77DB4">
        <w:rPr>
          <w:lang w:val="en-US"/>
        </w:rPr>
        <w:t>WM / Refinitiv Rate</w:t>
      </w:r>
      <w:r>
        <w:rPr>
          <w:lang w:val="en-US"/>
        </w:rPr>
        <w:t>”</w:t>
      </w:r>
      <w:r>
        <w:rPr>
          <w:rFonts w:ascii="Flama Semicondensed Medium" w:hAnsi="Flama Semicondensed Medium"/>
          <w:smallCaps/>
          <w:lang w:val="en-US"/>
        </w:rPr>
        <w:t> </w:t>
      </w:r>
      <w:r>
        <w:rPr>
          <w:lang w:val="en-US"/>
        </w:rPr>
        <w:t>shall have the meaning as defined in Section 1.4.</w:t>
      </w:r>
    </w:p>
    <w:p w14:paraId="0ACD5273" w14:textId="77777777" w:rsidR="000D4923" w:rsidRDefault="000D4923" w:rsidP="002663E0">
      <w:pPr>
        <w:spacing w:before="0" w:after="160" w:line="259" w:lineRule="auto"/>
        <w:jc w:val="left"/>
        <w:rPr>
          <w:b/>
          <w:bCs/>
          <w:sz w:val="28"/>
          <w:szCs w:val="28"/>
          <w:u w:val="single"/>
          <w:lang w:val="en-GB"/>
        </w:rPr>
      </w:pPr>
    </w:p>
    <w:p w14:paraId="2549A320" w14:textId="77777777" w:rsidR="000D4923" w:rsidRDefault="000D4923" w:rsidP="002663E0">
      <w:pPr>
        <w:spacing w:before="0" w:after="160" w:line="259" w:lineRule="auto"/>
        <w:jc w:val="left"/>
        <w:rPr>
          <w:b/>
          <w:bCs/>
          <w:sz w:val="28"/>
          <w:szCs w:val="28"/>
          <w:u w:val="single"/>
          <w:lang w:val="en-GB"/>
        </w:rPr>
      </w:pPr>
    </w:p>
    <w:p w14:paraId="4A8D8AB2" w14:textId="77777777" w:rsidR="000D4923" w:rsidRDefault="000D4923" w:rsidP="002663E0">
      <w:pPr>
        <w:spacing w:before="0" w:after="160" w:line="259" w:lineRule="auto"/>
        <w:jc w:val="left"/>
        <w:rPr>
          <w:b/>
          <w:bCs/>
          <w:sz w:val="28"/>
          <w:szCs w:val="28"/>
          <w:u w:val="single"/>
          <w:lang w:val="en-GB"/>
        </w:rPr>
      </w:pPr>
    </w:p>
    <w:p w14:paraId="57AA88C5" w14:textId="77777777" w:rsidR="000D4923" w:rsidRDefault="000D4923" w:rsidP="002663E0">
      <w:pPr>
        <w:spacing w:before="0" w:after="160" w:line="259" w:lineRule="auto"/>
        <w:jc w:val="left"/>
        <w:rPr>
          <w:b/>
          <w:bCs/>
          <w:sz w:val="28"/>
          <w:szCs w:val="28"/>
          <w:u w:val="single"/>
          <w:lang w:val="en-GB"/>
        </w:rPr>
      </w:pPr>
    </w:p>
    <w:p w14:paraId="7A79C953" w14:textId="77777777" w:rsidR="000D4923" w:rsidRDefault="000D4923" w:rsidP="002663E0">
      <w:pPr>
        <w:spacing w:before="0" w:after="160" w:line="259" w:lineRule="auto"/>
        <w:jc w:val="left"/>
        <w:rPr>
          <w:b/>
          <w:bCs/>
          <w:sz w:val="28"/>
          <w:szCs w:val="28"/>
          <w:u w:val="single"/>
          <w:lang w:val="en-GB"/>
        </w:rPr>
      </w:pPr>
    </w:p>
    <w:p w14:paraId="45154AF2" w14:textId="444DDF3C"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74EEFBC2"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1E1D6F">
        <w:rPr>
          <w:lang w:val="en-US"/>
        </w:rPr>
        <w:t xml:space="preserve">Solactive </w:t>
      </w:r>
      <w:r w:rsidR="00DF2375" w:rsidRPr="00DF2375">
        <w:rPr>
          <w:lang w:val="en-US"/>
        </w:rPr>
        <w:t xml:space="preserve">China </w:t>
      </w:r>
      <w:r w:rsidR="008222A2">
        <w:rPr>
          <w:lang w:val="en-US"/>
        </w:rPr>
        <w:t>Clean Energy</w:t>
      </w:r>
      <w:r w:rsidR="00DF2375" w:rsidRPr="00DF2375">
        <w:rPr>
          <w:lang w:val="en-US"/>
        </w:rPr>
        <w:t xml:space="preserve"> 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3D2B3B"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42FF0130" w14:textId="77777777" w:rsidR="000D4923" w:rsidRDefault="000D4923" w:rsidP="0026131F">
      <w:pPr>
        <w:spacing w:before="0" w:after="160" w:line="259" w:lineRule="auto"/>
        <w:jc w:val="left"/>
        <w:rPr>
          <w:b/>
          <w:bCs/>
          <w:sz w:val="28"/>
          <w:szCs w:val="28"/>
          <w:u w:val="single"/>
          <w:lang w:val="en-GB"/>
        </w:rPr>
      </w:pPr>
    </w:p>
    <w:p w14:paraId="05CB766E" w14:textId="77777777" w:rsidR="000D4923" w:rsidRDefault="000D4923" w:rsidP="0026131F">
      <w:pPr>
        <w:spacing w:before="0" w:after="160" w:line="259" w:lineRule="auto"/>
        <w:jc w:val="left"/>
        <w:rPr>
          <w:b/>
          <w:bCs/>
          <w:sz w:val="28"/>
          <w:szCs w:val="28"/>
          <w:u w:val="single"/>
          <w:lang w:val="en-GB"/>
        </w:rPr>
      </w:pPr>
    </w:p>
    <w:p w14:paraId="763D43B8" w14:textId="4BDD59D1"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5E139305"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w:t>
      </w:r>
      <w:r w:rsidRPr="001E1D6F">
        <w:rPr>
          <w:lang w:val="en-US"/>
        </w:rPr>
        <w:t xml:space="preserve">until </w:t>
      </w:r>
      <w:r w:rsidR="00755D62">
        <w:rPr>
          <w:i/>
          <w:lang w:val="en-US"/>
        </w:rPr>
        <w:t>May</w:t>
      </w:r>
      <w:r w:rsidR="001E1D6F" w:rsidRPr="001E1D6F">
        <w:rPr>
          <w:i/>
          <w:lang w:val="en-US"/>
        </w:rPr>
        <w:t xml:space="preserve"> </w:t>
      </w:r>
      <w:r w:rsidR="00755D62">
        <w:rPr>
          <w:i/>
          <w:lang w:val="en-US"/>
        </w:rPr>
        <w:t>20</w:t>
      </w:r>
      <w:r w:rsidR="001E1D6F" w:rsidRPr="001E1D6F">
        <w:rPr>
          <w:i/>
          <w:vertAlign w:val="superscript"/>
          <w:lang w:val="en-US"/>
        </w:rPr>
        <w:t>th</w:t>
      </w:r>
      <w:r w:rsidR="001E1D6F" w:rsidRPr="001E1D6F">
        <w:rPr>
          <w:i/>
          <w:lang w:val="en-US"/>
        </w:rPr>
        <w:t xml:space="preserve"> 2022</w:t>
      </w:r>
      <w:r w:rsidR="00FF1329">
        <w:rPr>
          <w:i/>
          <w:lang w:val="en-DE"/>
        </w:rPr>
        <w:t xml:space="preserve"> (cob)</w:t>
      </w:r>
      <w:r w:rsidRPr="001E1D6F">
        <w:rPr>
          <w:lang w:val="en-US"/>
        </w:rPr>
        <w:t>.</w:t>
      </w:r>
    </w:p>
    <w:p w14:paraId="741A56A5" w14:textId="3A000DED"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1E1D6F">
        <w:rPr>
          <w:lang w:val="en-US"/>
        </w:rPr>
        <w:t xml:space="preserve">above are intended to </w:t>
      </w:r>
      <w:r w:rsidRPr="00FE1081">
        <w:rPr>
          <w:lang w:val="en-US"/>
        </w:rPr>
        <w:t xml:space="preserve">become effective on </w:t>
      </w:r>
      <w:r w:rsidR="00755D62">
        <w:rPr>
          <w:i/>
          <w:lang w:val="en-US"/>
        </w:rPr>
        <w:t>June</w:t>
      </w:r>
      <w:r w:rsidR="001E1D6F">
        <w:rPr>
          <w:i/>
          <w:lang w:val="en-US"/>
        </w:rPr>
        <w:t xml:space="preserve"> 2</w:t>
      </w:r>
      <w:r w:rsidR="00755D62">
        <w:rPr>
          <w:i/>
          <w:lang w:val="en-US"/>
        </w:rPr>
        <w:t>4</w:t>
      </w:r>
      <w:r w:rsidR="001E1D6F" w:rsidRPr="001E1D6F">
        <w:rPr>
          <w:i/>
          <w:vertAlign w:val="superscript"/>
          <w:lang w:val="en-US"/>
        </w:rPr>
        <w:t>th</w:t>
      </w:r>
      <w:r w:rsidR="001E1D6F">
        <w:rPr>
          <w:i/>
          <w:lang w:val="en-US"/>
        </w:rPr>
        <w:t xml:space="preserve"> 2022.</w:t>
      </w:r>
    </w:p>
    <w:p w14:paraId="0D223365" w14:textId="77777777" w:rsidR="00651886" w:rsidRPr="00C04273" w:rsidRDefault="00651886" w:rsidP="005055F5">
      <w:pPr>
        <w:spacing w:before="0" w:after="0" w:line="360" w:lineRule="auto"/>
        <w:rPr>
          <w:lang w:val="en-US"/>
        </w:rPr>
      </w:pPr>
    </w:p>
    <w:p w14:paraId="04131284" w14:textId="27548B3A"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3"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1E1D6F" w:rsidRPr="001E1D6F">
        <w:rPr>
          <w:b/>
          <w:bCs/>
          <w:lang w:val="en-US"/>
        </w:rPr>
        <w:t xml:space="preserve">I Solactive </w:t>
      </w:r>
      <w:r w:rsidR="00DF2375" w:rsidRPr="00DF2375">
        <w:rPr>
          <w:b/>
          <w:bCs/>
          <w:lang w:val="en-US"/>
        </w:rPr>
        <w:t xml:space="preserve">China </w:t>
      </w:r>
      <w:r w:rsidR="008222A2">
        <w:rPr>
          <w:b/>
          <w:bCs/>
          <w:lang w:val="en-US"/>
        </w:rPr>
        <w:t>Clean Energy</w:t>
      </w:r>
      <w:r w:rsidR="00DF2375" w:rsidRPr="00DF2375">
        <w:rPr>
          <w:b/>
          <w:bCs/>
          <w:lang w:val="en-US"/>
        </w:rPr>
        <w:t xml:space="preserve"> Index</w:t>
      </w:r>
      <w:r w:rsidR="0026131F">
        <w:rPr>
          <w:lang w:val="en-DE"/>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1E1D6F" w:rsidRDefault="003D0D25" w:rsidP="003D0D25">
      <w:pPr>
        <w:spacing w:after="0"/>
        <w:ind w:left="1416" w:firstLine="708"/>
        <w:rPr>
          <w:lang w:val="en-US"/>
        </w:rPr>
      </w:pPr>
      <w:r w:rsidRPr="001E1D6F">
        <w:rPr>
          <w:lang w:val="en-US"/>
        </w:rPr>
        <w:t>Germany</w:t>
      </w:r>
    </w:p>
    <w:p w14:paraId="752A804F" w14:textId="7A894BF5" w:rsidR="00753C1C" w:rsidRPr="001E1D6F" w:rsidRDefault="00753C1C" w:rsidP="003D0D25">
      <w:pPr>
        <w:spacing w:after="0"/>
        <w:ind w:left="1416" w:firstLine="708"/>
        <w:rPr>
          <w:lang w:val="en-US"/>
        </w:rPr>
      </w:pPr>
    </w:p>
    <w:p w14:paraId="110BD051" w14:textId="68CCECE0" w:rsidR="005055F5" w:rsidRPr="001E1D6F" w:rsidRDefault="00753C1C" w:rsidP="001E1D6F">
      <w:pPr>
        <w:spacing w:after="0"/>
        <w:rPr>
          <w:lang w:val="en-US"/>
        </w:rPr>
      </w:pPr>
      <w:r w:rsidRPr="00C04273">
        <w:rPr>
          <w:lang w:val="en-US"/>
        </w:rPr>
        <w:t>Should you have any additional questions regarding the consultative question in particular, please do not hesitate to contact us via above email address.</w:t>
      </w: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6"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7"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8"/>
      <w:headerReference w:type="default" r:id="rId19"/>
      <w:footerReference w:type="even" r:id="rId20"/>
      <w:footerReference w:type="default" r:id="rId21"/>
      <w:headerReference w:type="first" r:id="rId22"/>
      <w:footerReference w:type="first" r:id="rId23"/>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A08B3" w14:textId="77777777" w:rsidR="001E099A" w:rsidRDefault="001E099A" w:rsidP="002E70FC">
      <w:pPr>
        <w:spacing w:before="0" w:after="0"/>
      </w:pPr>
      <w:r>
        <w:separator/>
      </w:r>
    </w:p>
  </w:endnote>
  <w:endnote w:type="continuationSeparator" w:id="0">
    <w:p w14:paraId="41B1EF12" w14:textId="77777777" w:rsidR="001E099A" w:rsidRDefault="001E099A"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42A2922-79A2-4E3E-8998-B516F5CE4C29}"/>
  </w:font>
  <w:font w:name="Flama Semicondensed Light">
    <w:altName w:val="Times New Roman"/>
    <w:panose1 w:val="02000000000000000000"/>
    <w:charset w:val="00"/>
    <w:family w:val="auto"/>
    <w:pitch w:val="variable"/>
    <w:sig w:usb0="A00000AF" w:usb1="4000207B" w:usb2="00000000" w:usb3="00000000" w:csb0="0000008B" w:csb1="00000000"/>
    <w:embedRegular r:id="rId2" w:fontKey="{369F6664-2B4D-4D5E-A92A-561BC74DC09B}"/>
    <w:embedBold r:id="rId3" w:fontKey="{D89F8038-F830-45D2-BD0B-09AD4713CA38}"/>
    <w:embedItalic r:id="rId4" w:fontKey="{E6332E1F-4CDF-4C27-AA62-A9F247535453}"/>
  </w:font>
  <w:font w:name="Segoe UI">
    <w:panose1 w:val="020B0502040204020203"/>
    <w:charset w:val="00"/>
    <w:family w:val="swiss"/>
    <w:pitch w:val="variable"/>
    <w:sig w:usb0="E4002EFF" w:usb1="C000E47F" w:usb2="00000009" w:usb3="00000000" w:csb0="000001FF" w:csb1="00000000"/>
    <w:embedRegular r:id="rId5" w:fontKey="{12E1CC96-2ED9-46AD-B4F9-1F93B011BC90}"/>
  </w:font>
  <w:font w:name="Flama Semicondensed Medium">
    <w:altName w:val="Calibri"/>
    <w:panose1 w:val="02000000000000000000"/>
    <w:charset w:val="00"/>
    <w:family w:val="auto"/>
    <w:pitch w:val="variable"/>
    <w:sig w:usb0="A00000AF" w:usb1="4000207B" w:usb2="00000000" w:usb3="00000000" w:csb0="0000008B" w:csb1="00000000"/>
    <w:embedRegular r:id="rId6" w:fontKey="{8C59AF1F-6375-4730-ADBF-60A2DDA41114}"/>
    <w:embedBold r:id="rId7" w:fontKey="{06C2A22F-F735-43A6-AA25-CB93A04F9E67}"/>
  </w:font>
  <w:font w:name="Calibri Light">
    <w:panose1 w:val="020F0302020204030204"/>
    <w:charset w:val="00"/>
    <w:family w:val="swiss"/>
    <w:pitch w:val="variable"/>
    <w:sig w:usb0="E4002EFF" w:usb1="C000247B" w:usb2="00000009" w:usb3="00000000" w:csb0="000001FF" w:csb1="00000000"/>
    <w:embedRegular r:id="rId8" w:fontKey="{6008071C-6132-4555-BA54-34C2BDC8B4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270D" w14:textId="77777777" w:rsidR="00D0133E" w:rsidRDefault="00D01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8CBC" w14:textId="77777777" w:rsidR="00D0133E" w:rsidRDefault="00D01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C5D23" w14:textId="77777777" w:rsidR="001E099A" w:rsidRDefault="001E099A" w:rsidP="002E70FC">
      <w:pPr>
        <w:spacing w:before="0" w:after="0"/>
      </w:pPr>
      <w:r>
        <w:separator/>
      </w:r>
    </w:p>
  </w:footnote>
  <w:footnote w:type="continuationSeparator" w:id="0">
    <w:p w14:paraId="1BC7C481" w14:textId="77777777" w:rsidR="001E099A" w:rsidRDefault="001E099A"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ABB3" w14:textId="77777777" w:rsidR="00D0133E" w:rsidRDefault="00D013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4C8165D0"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8222A2">
          <w:rPr>
            <w:lang w:val="en-US"/>
          </w:rPr>
          <w:t>Market Consultation Solactive China Clean Energy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A6C9" w14:textId="77777777" w:rsidR="00D0133E" w:rsidRDefault="00D013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94" type="#_x0000_t75" style="width:25.9pt;height:19.9pt" o:bullet="t">
        <v:imagedata r:id="rId1" o:title="S_Icons-Haken_02"/>
      </v:shape>
    </w:pict>
  </w:numPicBullet>
  <w:numPicBullet w:numPicBulletId="1">
    <w:pict>
      <v:shape id="_x0000_i3895" type="#_x0000_t75" style="width:19.9pt;height:19.9pt" o:bullet="t">
        <v:imagedata r:id="rId2" o:title="S_Icons-Pfeil_02"/>
      </v:shape>
    </w:pict>
  </w:numPicBullet>
  <w:numPicBullet w:numPicBulletId="2">
    <w:pict>
      <v:shape id="_x0000_i3896" type="#_x0000_t75" style="width:15.35pt;height:15.85pt" o:bullet="t">
        <v:imagedata r:id="rId3" o:title="Bullet_2_Indices_Small"/>
      </v:shape>
    </w:pict>
  </w:numPicBullet>
  <w:numPicBullet w:numPicBulletId="3">
    <w:pict>
      <v:shape id="_x0000_i3897"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C80D61"/>
    <w:multiLevelType w:val="hybridMultilevel"/>
    <w:tmpl w:val="0F48B86E"/>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FE9044C"/>
    <w:multiLevelType w:val="hybridMultilevel"/>
    <w:tmpl w:val="8640D17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83C493F"/>
    <w:multiLevelType w:val="hybridMultilevel"/>
    <w:tmpl w:val="5C36E470"/>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645878"/>
    <w:multiLevelType w:val="hybridMultilevel"/>
    <w:tmpl w:val="EA0675F0"/>
    <w:lvl w:ilvl="0" w:tplc="11D6AA5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3314F6"/>
    <w:multiLevelType w:val="hybridMultilevel"/>
    <w:tmpl w:val="B8F057B6"/>
    <w:lvl w:ilvl="0" w:tplc="57969D86">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B315564"/>
    <w:multiLevelType w:val="multilevel"/>
    <w:tmpl w:val="26AABA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CA11831"/>
    <w:multiLevelType w:val="hybridMultilevel"/>
    <w:tmpl w:val="C78A7362"/>
    <w:lvl w:ilvl="0" w:tplc="4DC4B23A">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06B05E5"/>
    <w:multiLevelType w:val="hybridMultilevel"/>
    <w:tmpl w:val="C5BC5E74"/>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0D4422D"/>
    <w:multiLevelType w:val="hybridMultilevel"/>
    <w:tmpl w:val="888288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B27904"/>
    <w:multiLevelType w:val="hybridMultilevel"/>
    <w:tmpl w:val="DF7AF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4D62E8"/>
    <w:multiLevelType w:val="hybridMultilevel"/>
    <w:tmpl w:val="7DFE1C7C"/>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31" w15:restartNumberingAfterBreak="0">
    <w:nsid w:val="7C871B76"/>
    <w:multiLevelType w:val="hybridMultilevel"/>
    <w:tmpl w:val="888288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65285D"/>
    <w:multiLevelType w:val="hybridMultilevel"/>
    <w:tmpl w:val="C5BC5E74"/>
    <w:lvl w:ilvl="0" w:tplc="B75E0B66">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919050231">
    <w:abstractNumId w:val="7"/>
  </w:num>
  <w:num w:numId="2" w16cid:durableId="975529332">
    <w:abstractNumId w:val="10"/>
  </w:num>
  <w:num w:numId="3" w16cid:durableId="577717309">
    <w:abstractNumId w:val="21"/>
  </w:num>
  <w:num w:numId="4" w16cid:durableId="2145661065">
    <w:abstractNumId w:val="31"/>
  </w:num>
  <w:num w:numId="5" w16cid:durableId="1921215096">
    <w:abstractNumId w:val="20"/>
  </w:num>
  <w:num w:numId="6" w16cid:durableId="472211622">
    <w:abstractNumId w:val="11"/>
  </w:num>
  <w:num w:numId="7" w16cid:durableId="1741168599">
    <w:abstractNumId w:val="29"/>
  </w:num>
  <w:num w:numId="8" w16cid:durableId="505831877">
    <w:abstractNumId w:val="4"/>
  </w:num>
  <w:num w:numId="9" w16cid:durableId="1979919521">
    <w:abstractNumId w:val="17"/>
  </w:num>
  <w:num w:numId="10" w16cid:durableId="668021183">
    <w:abstractNumId w:val="16"/>
  </w:num>
  <w:num w:numId="11" w16cid:durableId="1940410312">
    <w:abstractNumId w:val="3"/>
  </w:num>
  <w:num w:numId="12" w16cid:durableId="1854418951">
    <w:abstractNumId w:val="2"/>
  </w:num>
  <w:num w:numId="13" w16cid:durableId="245768246">
    <w:abstractNumId w:val="19"/>
  </w:num>
  <w:num w:numId="14" w16cid:durableId="657417397">
    <w:abstractNumId w:val="13"/>
  </w:num>
  <w:num w:numId="15" w16cid:durableId="1528759002">
    <w:abstractNumId w:val="6"/>
  </w:num>
  <w:num w:numId="16" w16cid:durableId="1155953984">
    <w:abstractNumId w:val="14"/>
  </w:num>
  <w:num w:numId="17" w16cid:durableId="577179878">
    <w:abstractNumId w:val="32"/>
  </w:num>
  <w:num w:numId="18" w16cid:durableId="844978114">
    <w:abstractNumId w:val="12"/>
  </w:num>
  <w:num w:numId="19" w16cid:durableId="1775904584">
    <w:abstractNumId w:val="23"/>
  </w:num>
  <w:num w:numId="20" w16cid:durableId="1521889265">
    <w:abstractNumId w:val="28"/>
  </w:num>
  <w:num w:numId="21" w16cid:durableId="1611156686">
    <w:abstractNumId w:val="0"/>
  </w:num>
  <w:num w:numId="22" w16cid:durableId="461193511">
    <w:abstractNumId w:val="33"/>
  </w:num>
  <w:num w:numId="23" w16cid:durableId="929191729">
    <w:abstractNumId w:val="25"/>
  </w:num>
  <w:num w:numId="24" w16cid:durableId="34236281">
    <w:abstractNumId w:val="18"/>
  </w:num>
  <w:num w:numId="25" w16cid:durableId="2058964649">
    <w:abstractNumId w:val="22"/>
  </w:num>
  <w:num w:numId="26" w16cid:durableId="2062055202">
    <w:abstractNumId w:val="1"/>
  </w:num>
  <w:num w:numId="27" w16cid:durableId="2021420560">
    <w:abstractNumId w:val="27"/>
  </w:num>
  <w:num w:numId="28" w16cid:durableId="1732843804">
    <w:abstractNumId w:val="26"/>
  </w:num>
  <w:num w:numId="29" w16cid:durableId="1285114395">
    <w:abstractNumId w:val="15"/>
  </w:num>
  <w:num w:numId="30" w16cid:durableId="1854033442">
    <w:abstractNumId w:val="24"/>
  </w:num>
  <w:num w:numId="31" w16cid:durableId="1387535641">
    <w:abstractNumId w:val="5"/>
  </w:num>
  <w:num w:numId="32" w16cid:durableId="31655737">
    <w:abstractNumId w:val="30"/>
  </w:num>
  <w:num w:numId="33" w16cid:durableId="66265837">
    <w:abstractNumId w:val="9"/>
  </w:num>
  <w:num w:numId="34" w16cid:durableId="14839325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defaultTabStop w:val="708"/>
  <w:hyphenationZone w:val="425"/>
  <w:characterSpacingControl w:val="doNotCompress"/>
  <w:hdrShapeDefaults>
    <o:shapedefaults v:ext="edit" spidmax="9217">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tru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D4923"/>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099A"/>
    <w:rsid w:val="001E1D6F"/>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24CD"/>
    <w:rsid w:val="00383C13"/>
    <w:rsid w:val="003841D2"/>
    <w:rsid w:val="00393783"/>
    <w:rsid w:val="00395582"/>
    <w:rsid w:val="003B50BB"/>
    <w:rsid w:val="003C16C2"/>
    <w:rsid w:val="003C5B49"/>
    <w:rsid w:val="003D0D25"/>
    <w:rsid w:val="003D0F21"/>
    <w:rsid w:val="003D2B3B"/>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094"/>
    <w:rsid w:val="00500D79"/>
    <w:rsid w:val="005055F5"/>
    <w:rsid w:val="00507DB2"/>
    <w:rsid w:val="00532F22"/>
    <w:rsid w:val="00534514"/>
    <w:rsid w:val="005457DD"/>
    <w:rsid w:val="00565EE0"/>
    <w:rsid w:val="00572562"/>
    <w:rsid w:val="005818C8"/>
    <w:rsid w:val="00591607"/>
    <w:rsid w:val="00592EE3"/>
    <w:rsid w:val="005A0058"/>
    <w:rsid w:val="005A2BE7"/>
    <w:rsid w:val="005A6736"/>
    <w:rsid w:val="005B5236"/>
    <w:rsid w:val="005C08AA"/>
    <w:rsid w:val="005C210C"/>
    <w:rsid w:val="005C5410"/>
    <w:rsid w:val="005D6A4D"/>
    <w:rsid w:val="005E2B50"/>
    <w:rsid w:val="005E61B4"/>
    <w:rsid w:val="00621D78"/>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A2F34"/>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3BE6"/>
    <w:rsid w:val="00746268"/>
    <w:rsid w:val="00750A5D"/>
    <w:rsid w:val="00753112"/>
    <w:rsid w:val="00753C1C"/>
    <w:rsid w:val="00755D6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22A2"/>
    <w:rsid w:val="00823F62"/>
    <w:rsid w:val="00830616"/>
    <w:rsid w:val="008345B7"/>
    <w:rsid w:val="00851638"/>
    <w:rsid w:val="00852511"/>
    <w:rsid w:val="00874E3E"/>
    <w:rsid w:val="00875EDB"/>
    <w:rsid w:val="00880689"/>
    <w:rsid w:val="0088182C"/>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53834"/>
    <w:rsid w:val="00960D2A"/>
    <w:rsid w:val="00970C26"/>
    <w:rsid w:val="0097651D"/>
    <w:rsid w:val="00983D90"/>
    <w:rsid w:val="0099430F"/>
    <w:rsid w:val="00995D4A"/>
    <w:rsid w:val="009A2432"/>
    <w:rsid w:val="009A27F6"/>
    <w:rsid w:val="009A4F6D"/>
    <w:rsid w:val="009B37FB"/>
    <w:rsid w:val="009B45ED"/>
    <w:rsid w:val="009C5F0F"/>
    <w:rsid w:val="009C62E7"/>
    <w:rsid w:val="009D2EF7"/>
    <w:rsid w:val="009F51A9"/>
    <w:rsid w:val="00A2430F"/>
    <w:rsid w:val="00A255BA"/>
    <w:rsid w:val="00A3779F"/>
    <w:rsid w:val="00A41317"/>
    <w:rsid w:val="00A413D8"/>
    <w:rsid w:val="00A64163"/>
    <w:rsid w:val="00A65C78"/>
    <w:rsid w:val="00A74BB3"/>
    <w:rsid w:val="00A77DB4"/>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1522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133E"/>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D7A67"/>
    <w:rsid w:val="00DE21FE"/>
    <w:rsid w:val="00DE29BE"/>
    <w:rsid w:val="00DE7F6A"/>
    <w:rsid w:val="00DF2375"/>
    <w:rsid w:val="00DF306F"/>
    <w:rsid w:val="00E05994"/>
    <w:rsid w:val="00E06A59"/>
    <w:rsid w:val="00E072E6"/>
    <w:rsid w:val="00E1572A"/>
    <w:rsid w:val="00E22C03"/>
    <w:rsid w:val="00E35FA1"/>
    <w:rsid w:val="00E43678"/>
    <w:rsid w:val="00E530BC"/>
    <w:rsid w:val="00E53E4C"/>
    <w:rsid w:val="00E55AA7"/>
    <w:rsid w:val="00E738F4"/>
    <w:rsid w:val="00E75C53"/>
    <w:rsid w:val="00E85D18"/>
    <w:rsid w:val="00E87285"/>
    <w:rsid w:val="00E9274E"/>
    <w:rsid w:val="00EA23FA"/>
    <w:rsid w:val="00EA4B8A"/>
    <w:rsid w:val="00EC2BCA"/>
    <w:rsid w:val="00ED0760"/>
    <w:rsid w:val="00EE22E3"/>
    <w:rsid w:val="00EF4588"/>
    <w:rsid w:val="00EF4A17"/>
    <w:rsid w:val="00F0488B"/>
    <w:rsid w:val="00F1145C"/>
    <w:rsid w:val="00F21FFF"/>
    <w:rsid w:val="00F25F45"/>
    <w:rsid w:val="00F51148"/>
    <w:rsid w:val="00F568D6"/>
    <w:rsid w:val="00F5792B"/>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132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1E1D6F"/>
    <w:pPr>
      <w:spacing w:after="0" w:line="240" w:lineRule="auto"/>
    </w:pPr>
    <w:rPr>
      <w:rFonts w:ascii="Flama Semicondensed Light" w:eastAsia="Times New Roman" w:hAnsi="Flama Semicondensed Light" w:cs="Times New Roman"/>
      <w:sz w:val="24"/>
      <w:szCs w:val="24"/>
      <w:lang w:eastAsia="de-DE"/>
    </w:rPr>
  </w:style>
  <w:style w:type="character" w:customStyle="1" w:styleId="ListParagraphChar">
    <w:name w:val="List Paragraph Char"/>
    <w:aliases w:val="Normal_puce2 Char,Puce Char"/>
    <w:basedOn w:val="DefaultParagraphFont"/>
    <w:link w:val="ListParagraph"/>
    <w:rsid w:val="001E1D6F"/>
    <w:rPr>
      <w:rFonts w:ascii="Flama Semicondensed Light" w:eastAsia="Times New Roman" w:hAnsi="Flama Semicondensed Light" w:cs="Times New Roman"/>
      <w:sz w:val="24"/>
      <w:szCs w:val="24"/>
      <w:lang w:eastAsia="de-DE"/>
    </w:rPr>
  </w:style>
  <w:style w:type="character" w:customStyle="1" w:styleId="cf01">
    <w:name w:val="cf01"/>
    <w:basedOn w:val="DefaultParagraphFont"/>
    <w:rsid w:val="00C152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ketconsultation@solactive.com"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solactive.com/documents/equity-index-methodology/" TargetMode="External"/><Relationship Id="rId17" Type="http://schemas.openxmlformats.org/officeDocument/2006/relationships/hyperlink" Target="http://www.solactive.com"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info@solactiv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documents/equity-index-methodology/"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footer" Target="footer3.xml"/><Relationship Id="rId10" Type="http://schemas.openxmlformats.org/officeDocument/2006/relationships/image" Target="media/image6.sv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124E8"/>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1473</Words>
  <Characters>8398</Characters>
  <Application>Microsoft Office Word</Application>
  <DocSecurity>0</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China Electric vehicle and battery v2 USD Index</vt:lpstr>
      <vt:lpstr>Index Calculation Guideline</vt:lpstr>
    </vt:vector>
  </TitlesOfParts>
  <Company/>
  <LinksUpToDate>false</LinksUpToDate>
  <CharactersWithSpaces>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China Clean Energy Index</dc:title>
  <dc:subject>Calculation Documents &amp; Methodologies</dc:subject>
  <dc:creator>Solactive AG</dc:creator>
  <cp:keywords/>
  <dc:description/>
  <cp:lastModifiedBy>Pilarczyk, Martin</cp:lastModifiedBy>
  <cp:revision>3</cp:revision>
  <cp:lastPrinted>2018-12-10T16:54:00Z</cp:lastPrinted>
  <dcterms:created xsi:type="dcterms:W3CDTF">2022-04-29T12:22:00Z</dcterms:created>
  <dcterms:modified xsi:type="dcterms:W3CDTF">2022-04-29T13:25:00Z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