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0348BA2F" w:rsidR="0092193A" w:rsidRPr="0097651D" w:rsidRDefault="00BA2B2E" w:rsidP="0092193A">
              <w:pPr>
                <w:pStyle w:val="Title"/>
                <w:rPr>
                  <w:lang w:val="en-US"/>
                </w:rPr>
              </w:pPr>
              <w:r w:rsidRPr="0076436B">
                <w:rPr>
                  <w:color w:val="FFFFFF" w:themeColor="background1"/>
                  <w:lang w:val="en-US"/>
                </w:rPr>
                <w:t xml:space="preserve">Market Consultation- Solactive </w:t>
              </w:r>
              <w:r>
                <w:rPr>
                  <w:color w:val="FFFFFF" w:themeColor="background1"/>
                  <w:lang w:val="en-US"/>
                </w:rPr>
                <w:t>eCommerce Logistics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5CD4DD7" w:rsidR="00466905" w:rsidRPr="00D902A1" w:rsidRDefault="00C654D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4-06T00:00:00Z">
                                      <w:dateFormat w:val="dd MMMM yyyy"/>
                                      <w:lid w:val="en-GB"/>
                                      <w:storeMappedDataAs w:val="dateTime"/>
                                      <w:calendar w:val="gregorian"/>
                                    </w:date>
                                  </w:sdtPr>
                                  <w:sdtEndPr/>
                                  <w:sdtContent>
                                    <w:r w:rsidR="00E06731">
                                      <w:rPr>
                                        <w:color w:val="FFFFFF" w:themeColor="background1"/>
                                        <w:sz w:val="26"/>
                                        <w:szCs w:val="26"/>
                                        <w:lang w:val="en-GB"/>
                                      </w:rPr>
                                      <w:t>06 April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05CD4DD7" w:rsidR="00466905" w:rsidRPr="00D902A1" w:rsidRDefault="00C654D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4-06T00:00:00Z">
                                <w:dateFormat w:val="dd MMMM yyyy"/>
                                <w:lid w:val="en-GB"/>
                                <w:storeMappedDataAs w:val="dateTime"/>
                                <w:calendar w:val="gregorian"/>
                              </w:date>
                            </w:sdtPr>
                            <w:sdtEndPr/>
                            <w:sdtContent>
                              <w:r w:rsidR="00E06731">
                                <w:rPr>
                                  <w:color w:val="FFFFFF" w:themeColor="background1"/>
                                  <w:sz w:val="26"/>
                                  <w:szCs w:val="26"/>
                                  <w:lang w:val="en-GB"/>
                                </w:rPr>
                                <w:t>06 April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102595D0"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F87086">
        <w:rPr>
          <w:lang w:val="en-GB"/>
        </w:rPr>
        <w:t xml:space="preserve">following </w:t>
      </w:r>
      <w:r w:rsidR="00A97E61" w:rsidRPr="00F87086">
        <w:rPr>
          <w:lang w:val="en-US"/>
        </w:rPr>
        <w:t>Ind</w:t>
      </w:r>
      <w:r w:rsidR="00581218">
        <w:rPr>
          <w:lang w:val="en-US"/>
        </w:rPr>
        <w:t xml:space="preserve">ex </w:t>
      </w:r>
      <w:r w:rsidR="00E05994" w:rsidRPr="00F87086">
        <w:rPr>
          <w:lang w:val="en-US"/>
        </w:rPr>
        <w:t>(the ‘</w:t>
      </w:r>
      <w:r w:rsidR="00A97E61" w:rsidRPr="00F87086">
        <w:rPr>
          <w:lang w:val="en-US"/>
        </w:rPr>
        <w:t>Ind</w:t>
      </w:r>
      <w:r w:rsidR="00581218">
        <w:rPr>
          <w:lang w:val="en-US"/>
        </w:rPr>
        <w:t>ex</w:t>
      </w:r>
      <w:r w:rsidR="00E05994" w:rsidRPr="00F87086">
        <w:rPr>
          <w:lang w:val="en-US"/>
        </w:rPr>
        <w:t>’):</w:t>
      </w:r>
    </w:p>
    <w:tbl>
      <w:tblPr>
        <w:tblW w:w="9340" w:type="dxa"/>
        <w:tblLook w:val="04A0" w:firstRow="1" w:lastRow="0" w:firstColumn="1" w:lastColumn="0" w:noHBand="0" w:noVBand="1"/>
      </w:tblPr>
      <w:tblGrid>
        <w:gridCol w:w="3959"/>
        <w:gridCol w:w="2835"/>
        <w:gridCol w:w="2546"/>
      </w:tblGrid>
      <w:tr w:rsidR="00F87086" w14:paraId="52154CC5" w14:textId="77777777" w:rsidTr="00C654DE">
        <w:trPr>
          <w:trHeight w:val="360"/>
        </w:trPr>
        <w:tc>
          <w:tcPr>
            <w:tcW w:w="3959"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6DED9BB8" w14:textId="77777777" w:rsidR="00F87086" w:rsidRDefault="00F87086">
            <w:pPr>
              <w:spacing w:before="0" w:after="0"/>
              <w:rPr>
                <w:rFonts w:cs="Calibri"/>
                <w:b/>
                <w:bCs/>
                <w:color w:val="000000"/>
              </w:rPr>
            </w:pPr>
            <w:r>
              <w:rPr>
                <w:rFonts w:cs="Calibri"/>
                <w:b/>
                <w:bCs/>
                <w:color w:val="000000"/>
              </w:rPr>
              <w:t>NAME</w:t>
            </w:r>
          </w:p>
        </w:tc>
        <w:tc>
          <w:tcPr>
            <w:tcW w:w="2835" w:type="dxa"/>
            <w:tcBorders>
              <w:top w:val="single" w:sz="8" w:space="0" w:color="auto"/>
              <w:left w:val="nil"/>
              <w:bottom w:val="single" w:sz="8" w:space="0" w:color="auto"/>
              <w:right w:val="single" w:sz="8" w:space="0" w:color="auto"/>
            </w:tcBorders>
            <w:shd w:val="clear" w:color="000000" w:fill="808080"/>
            <w:noWrap/>
            <w:vAlign w:val="center"/>
            <w:hideMark/>
          </w:tcPr>
          <w:p w14:paraId="4F7BE02C" w14:textId="77777777" w:rsidR="00F87086" w:rsidRDefault="00F87086">
            <w:pPr>
              <w:rPr>
                <w:rFonts w:cs="Calibri"/>
                <w:b/>
                <w:bCs/>
                <w:color w:val="000000"/>
              </w:rPr>
            </w:pPr>
            <w:r>
              <w:rPr>
                <w:rFonts w:cs="Calibri"/>
                <w:b/>
                <w:bCs/>
              </w:rPr>
              <w:t>RIC</w:t>
            </w:r>
          </w:p>
        </w:tc>
        <w:tc>
          <w:tcPr>
            <w:tcW w:w="2546" w:type="dxa"/>
            <w:tcBorders>
              <w:top w:val="single" w:sz="8" w:space="0" w:color="auto"/>
              <w:left w:val="nil"/>
              <w:bottom w:val="single" w:sz="8" w:space="0" w:color="auto"/>
              <w:right w:val="single" w:sz="8" w:space="0" w:color="auto"/>
            </w:tcBorders>
            <w:shd w:val="clear" w:color="000000" w:fill="808080"/>
            <w:noWrap/>
            <w:vAlign w:val="center"/>
            <w:hideMark/>
          </w:tcPr>
          <w:p w14:paraId="5E53DB6A" w14:textId="77777777" w:rsidR="00F87086" w:rsidRDefault="00F87086">
            <w:pPr>
              <w:rPr>
                <w:rFonts w:cs="Calibri"/>
                <w:b/>
                <w:bCs/>
                <w:color w:val="000000"/>
              </w:rPr>
            </w:pPr>
            <w:r>
              <w:rPr>
                <w:rFonts w:cs="Calibri"/>
                <w:b/>
                <w:bCs/>
              </w:rPr>
              <w:t>ISIN</w:t>
            </w:r>
          </w:p>
        </w:tc>
      </w:tr>
      <w:tr w:rsidR="00ED26BA" w14:paraId="7407F9BF" w14:textId="77777777" w:rsidTr="00C654DE">
        <w:trPr>
          <w:trHeight w:val="360"/>
        </w:trPr>
        <w:tc>
          <w:tcPr>
            <w:tcW w:w="3959" w:type="dxa"/>
            <w:tcBorders>
              <w:top w:val="nil"/>
              <w:left w:val="single" w:sz="8" w:space="0" w:color="auto"/>
              <w:bottom w:val="single" w:sz="8" w:space="0" w:color="auto"/>
              <w:right w:val="single" w:sz="8" w:space="0" w:color="auto"/>
            </w:tcBorders>
            <w:shd w:val="clear" w:color="auto" w:fill="auto"/>
            <w:noWrap/>
            <w:hideMark/>
          </w:tcPr>
          <w:p w14:paraId="4F3D31A8" w14:textId="78ED5DFF" w:rsidR="00ED26BA" w:rsidRDefault="00ED26BA" w:rsidP="00ED26BA">
            <w:pPr>
              <w:rPr>
                <w:rFonts w:cs="Calibri"/>
                <w:color w:val="000000"/>
                <w:sz w:val="22"/>
                <w:szCs w:val="22"/>
              </w:rPr>
            </w:pPr>
            <w:r w:rsidRPr="00D55E6E">
              <w:t>Solactive eCommerce Logistics Index</w:t>
            </w:r>
          </w:p>
        </w:tc>
        <w:tc>
          <w:tcPr>
            <w:tcW w:w="2835" w:type="dxa"/>
            <w:tcBorders>
              <w:top w:val="nil"/>
              <w:left w:val="nil"/>
              <w:bottom w:val="single" w:sz="8" w:space="0" w:color="auto"/>
              <w:right w:val="single" w:sz="8" w:space="0" w:color="auto"/>
            </w:tcBorders>
            <w:shd w:val="clear" w:color="auto" w:fill="auto"/>
            <w:noWrap/>
            <w:hideMark/>
          </w:tcPr>
          <w:p w14:paraId="79A6EA0C" w14:textId="28FB167A" w:rsidR="00ED26BA" w:rsidRDefault="00ED26BA" w:rsidP="00ED26BA">
            <w:pPr>
              <w:rPr>
                <w:rFonts w:cs="Calibri"/>
                <w:color w:val="000000"/>
              </w:rPr>
            </w:pPr>
            <w:r w:rsidRPr="00D55E6E">
              <w:t>DE000SLA33G2</w:t>
            </w:r>
          </w:p>
        </w:tc>
        <w:tc>
          <w:tcPr>
            <w:tcW w:w="2546" w:type="dxa"/>
            <w:tcBorders>
              <w:top w:val="nil"/>
              <w:left w:val="nil"/>
              <w:bottom w:val="single" w:sz="8" w:space="0" w:color="auto"/>
              <w:right w:val="single" w:sz="8" w:space="0" w:color="auto"/>
            </w:tcBorders>
            <w:shd w:val="clear" w:color="auto" w:fill="auto"/>
            <w:noWrap/>
            <w:hideMark/>
          </w:tcPr>
          <w:p w14:paraId="136DBD68" w14:textId="0B12B398" w:rsidR="00ED26BA" w:rsidRDefault="00ED26BA" w:rsidP="00ED26BA">
            <w:pPr>
              <w:rPr>
                <w:rFonts w:cs="Calibri"/>
                <w:color w:val="000000"/>
              </w:rPr>
            </w:pPr>
            <w:r w:rsidRPr="00D55E6E">
              <w:t>.SOLECOM</w:t>
            </w:r>
          </w:p>
        </w:tc>
      </w:tr>
    </w:tbl>
    <w:p w14:paraId="590E3787" w14:textId="77777777" w:rsidR="00E05994" w:rsidRDefault="00E05994" w:rsidP="00E05994">
      <w:pPr>
        <w:spacing w:before="0" w:after="160" w:line="259" w:lineRule="auto"/>
        <w:rPr>
          <w:lang w:val="en-GB"/>
        </w:rPr>
      </w:pPr>
    </w:p>
    <w:p w14:paraId="012DE387" w14:textId="04707C27" w:rsidR="00783C68" w:rsidRPr="00C654DE" w:rsidRDefault="00E05994" w:rsidP="00995D4A">
      <w:pPr>
        <w:spacing w:before="0" w:after="160" w:line="259" w:lineRule="auto"/>
        <w:jc w:val="left"/>
        <w:rPr>
          <w:b/>
          <w:bCs/>
          <w:sz w:val="22"/>
          <w:szCs w:val="22"/>
          <w:lang w:val="en-GB"/>
        </w:rPr>
      </w:pPr>
      <w:r>
        <w:rPr>
          <w:lang w:val="en-GB"/>
        </w:rPr>
        <w:t xml:space="preserve"> </w:t>
      </w:r>
      <w:r w:rsidR="00783C68" w:rsidRPr="00C654DE">
        <w:rPr>
          <w:b/>
          <w:bCs/>
          <w:sz w:val="28"/>
          <w:szCs w:val="28"/>
          <w:u w:val="single"/>
          <w:lang w:val="en-GB"/>
        </w:rPr>
        <w:t xml:space="preserve">Rationale for </w:t>
      </w:r>
      <w:r w:rsidR="004D6535" w:rsidRPr="00C654DE">
        <w:rPr>
          <w:b/>
          <w:bCs/>
          <w:sz w:val="28"/>
          <w:szCs w:val="28"/>
          <w:u w:val="single"/>
          <w:lang w:val="en-GB"/>
        </w:rPr>
        <w:t>Market Consultation</w:t>
      </w:r>
    </w:p>
    <w:p w14:paraId="54191986" w14:textId="2B100805" w:rsidR="00E40D2E" w:rsidRDefault="008B2A0F" w:rsidP="008B2A0F">
      <w:pPr>
        <w:spacing w:before="0" w:after="160" w:line="259" w:lineRule="auto"/>
        <w:rPr>
          <w:lang w:val="en-US"/>
        </w:rPr>
      </w:pPr>
      <w:bookmarkStart w:id="1" w:name="_Hlk95337771"/>
      <w:r w:rsidRPr="0076436B">
        <w:rPr>
          <w:lang w:val="en-US"/>
        </w:rPr>
        <w:t xml:space="preserve">The </w:t>
      </w:r>
      <w:r w:rsidR="00E40D2E">
        <w:rPr>
          <w:lang w:val="en-US"/>
        </w:rPr>
        <w:t xml:space="preserve">Index </w:t>
      </w:r>
      <w:r w:rsidR="00E40D2E" w:rsidRPr="0076436B">
        <w:rPr>
          <w:lang w:val="en-US"/>
        </w:rPr>
        <w:t>aims</w:t>
      </w:r>
      <w:r w:rsidRPr="0076436B">
        <w:rPr>
          <w:lang w:val="en-US"/>
        </w:rPr>
        <w:t xml:space="preserve"> to track the performance of a basket</w:t>
      </w:r>
      <w:r w:rsidR="00E40D2E">
        <w:rPr>
          <w:lang w:val="en-US"/>
        </w:rPr>
        <w:t xml:space="preserve"> of</w:t>
      </w:r>
      <w:r w:rsidRPr="0076436B">
        <w:rPr>
          <w:lang w:val="en-US"/>
        </w:rPr>
        <w:t xml:space="preserve"> </w:t>
      </w:r>
      <w:r w:rsidR="00E40D2E" w:rsidRPr="00E40D2E">
        <w:rPr>
          <w:lang w:val="en-US"/>
        </w:rPr>
        <w:t>stocks of logistics service providers and technology companies who are engaged in e-commerce.</w:t>
      </w:r>
      <w:r w:rsidR="00E40D2E">
        <w:rPr>
          <w:lang w:val="en-US"/>
        </w:rPr>
        <w:t xml:space="preserve"> </w:t>
      </w:r>
    </w:p>
    <w:p w14:paraId="2BEF812B" w14:textId="12DCC54C" w:rsidR="00B466F2" w:rsidRDefault="008B2A0F" w:rsidP="00DF1ED4">
      <w:pPr>
        <w:spacing w:before="0" w:after="160" w:line="259" w:lineRule="auto"/>
        <w:rPr>
          <w:lang w:val="en-US"/>
        </w:rPr>
      </w:pPr>
      <w:r w:rsidRPr="0076436B">
        <w:rPr>
          <w:lang w:val="en-US"/>
        </w:rPr>
        <w:t xml:space="preserve">As per the current selection process </w:t>
      </w:r>
      <w:r w:rsidR="0021086C" w:rsidRPr="0076436B">
        <w:rPr>
          <w:lang w:val="en-US"/>
        </w:rPr>
        <w:t xml:space="preserve">of </w:t>
      </w:r>
      <w:r w:rsidR="00DF1ED4">
        <w:rPr>
          <w:lang w:val="en-US"/>
        </w:rPr>
        <w:t xml:space="preserve">the </w:t>
      </w:r>
      <w:r w:rsidR="0021086C" w:rsidRPr="0076436B">
        <w:rPr>
          <w:lang w:val="en-US"/>
        </w:rPr>
        <w:t>Ind</w:t>
      </w:r>
      <w:r w:rsidR="00DF1ED4">
        <w:rPr>
          <w:lang w:val="en-US"/>
        </w:rPr>
        <w:t>ex, there is no exclusion criteria for filtering out</w:t>
      </w:r>
      <w:r w:rsidR="00C2518C">
        <w:rPr>
          <w:lang w:val="en-US"/>
        </w:rPr>
        <w:t xml:space="preserve"> ESG</w:t>
      </w:r>
      <w:r w:rsidR="00DF1ED4">
        <w:rPr>
          <w:lang w:val="en-US"/>
        </w:rPr>
        <w:t xml:space="preserve"> non-compliant companies.</w:t>
      </w:r>
      <w:r w:rsidR="00C2518C">
        <w:rPr>
          <w:lang w:val="en-US"/>
        </w:rPr>
        <w:t xml:space="preserve"> </w:t>
      </w:r>
      <w:r w:rsidR="00C2518C" w:rsidRPr="00E06731">
        <w:rPr>
          <w:lang w:val="en-US"/>
        </w:rPr>
        <w:t xml:space="preserve">There is </w:t>
      </w:r>
      <w:r w:rsidR="00E06731">
        <w:rPr>
          <w:lang w:val="en-US"/>
        </w:rPr>
        <w:t xml:space="preserve">however </w:t>
      </w:r>
      <w:r w:rsidR="00C2518C" w:rsidRPr="00E06731">
        <w:rPr>
          <w:lang w:val="en-US"/>
        </w:rPr>
        <w:t>an</w:t>
      </w:r>
      <w:r w:rsidR="00E06731">
        <w:rPr>
          <w:lang w:val="en-US"/>
        </w:rPr>
        <w:t xml:space="preserve"> ever more</w:t>
      </w:r>
      <w:r w:rsidR="00C2518C" w:rsidRPr="00E06731">
        <w:rPr>
          <w:lang w:val="en-US"/>
        </w:rPr>
        <w:t xml:space="preserve"> </w:t>
      </w:r>
      <w:r w:rsidR="00C2518C" w:rsidRPr="00693891">
        <w:rPr>
          <w:lang w:val="en-US"/>
        </w:rPr>
        <w:t xml:space="preserve">increasing demand for ESG compliant investments in the market in general which is </w:t>
      </w:r>
      <w:r w:rsidR="00693891" w:rsidRPr="00E8750B">
        <w:rPr>
          <w:lang w:val="en-US"/>
        </w:rPr>
        <w:t xml:space="preserve">among others </w:t>
      </w:r>
      <w:r w:rsidR="00C2518C" w:rsidRPr="00693891">
        <w:rPr>
          <w:lang w:val="en-US"/>
        </w:rPr>
        <w:t>driven by regulatory requirements.</w:t>
      </w:r>
    </w:p>
    <w:p w14:paraId="5C7FCC2E" w14:textId="48629169" w:rsidR="0021086C" w:rsidRDefault="0021086C" w:rsidP="0021086C">
      <w:pPr>
        <w:spacing w:before="0" w:after="160" w:line="259" w:lineRule="auto"/>
        <w:rPr>
          <w:rFonts w:eastAsia="Calibri"/>
          <w:lang w:val="en-US" w:eastAsia="en-US"/>
        </w:rPr>
      </w:pPr>
      <w:r w:rsidRPr="00C879F7">
        <w:rPr>
          <w:rFonts w:eastAsia="Calibri"/>
          <w:lang w:val="en-US" w:eastAsia="en-US"/>
        </w:rPr>
        <w:t xml:space="preserve">Solactive has determined that the methodology of the </w:t>
      </w:r>
      <w:r w:rsidR="00C2518C">
        <w:rPr>
          <w:rFonts w:eastAsia="Calibri"/>
          <w:lang w:val="en-US" w:eastAsia="en-US"/>
        </w:rPr>
        <w:t>Index</w:t>
      </w:r>
      <w:r w:rsidRPr="00C879F7">
        <w:rPr>
          <w:rFonts w:eastAsia="Calibri"/>
          <w:lang w:val="en-US" w:eastAsia="en-US"/>
        </w:rPr>
        <w:t xml:space="preserve"> shall be amended to </w:t>
      </w:r>
      <w:r w:rsidR="00C2518C">
        <w:rPr>
          <w:lang w:val="en-GB"/>
        </w:rPr>
        <w:t>include</w:t>
      </w:r>
      <w:r w:rsidRPr="0076436B">
        <w:rPr>
          <w:lang w:val="en-US"/>
        </w:rPr>
        <w:t xml:space="preserve"> </w:t>
      </w:r>
      <w:r>
        <w:rPr>
          <w:lang w:val="en-GB"/>
        </w:rPr>
        <w:t xml:space="preserve">the ESG activity screens from </w:t>
      </w:r>
      <w:r w:rsidR="00581218">
        <w:rPr>
          <w:lang w:val="en-GB"/>
        </w:rPr>
        <w:t>a restrictive</w:t>
      </w:r>
      <w:r>
        <w:rPr>
          <w:lang w:val="en-GB"/>
        </w:rPr>
        <w:t xml:space="preserve"> exclusion list</w:t>
      </w:r>
      <w:r w:rsidRPr="0076436B">
        <w:rPr>
          <w:lang w:val="en-US"/>
        </w:rPr>
        <w:t xml:space="preserve">. </w:t>
      </w:r>
      <w:r>
        <w:rPr>
          <w:rFonts w:eastAsia="Calibri"/>
          <w:lang w:val="en-US" w:eastAsia="en-US"/>
        </w:rPr>
        <w:t xml:space="preserve">The suggested enhanced list will screen the companies on </w:t>
      </w:r>
      <w:r w:rsidR="00C2518C">
        <w:rPr>
          <w:rFonts w:eastAsia="Calibri"/>
          <w:lang w:val="en-US" w:eastAsia="en-US"/>
        </w:rPr>
        <w:t>various</w:t>
      </w:r>
      <w:r>
        <w:rPr>
          <w:rFonts w:eastAsia="Calibri"/>
          <w:lang w:val="en-US" w:eastAsia="en-US"/>
        </w:rPr>
        <w:t xml:space="preserve"> </w:t>
      </w:r>
      <w:r w:rsidR="00C2518C">
        <w:rPr>
          <w:rFonts w:eastAsia="Calibri"/>
          <w:lang w:val="en-US" w:eastAsia="en-US"/>
        </w:rPr>
        <w:t>criteria related to ESG</w:t>
      </w:r>
      <w:r>
        <w:rPr>
          <w:rFonts w:eastAsia="Calibri"/>
          <w:lang w:val="en-US" w:eastAsia="en-US"/>
        </w:rPr>
        <w:t>. A more detailed overview of the considered activities can be found below in section “Proposed Changes to the Index Guideline”.</w:t>
      </w:r>
    </w:p>
    <w:p w14:paraId="7C36BE72" w14:textId="4F8C5A1F" w:rsidR="0021086C" w:rsidRPr="0076436B" w:rsidRDefault="002E324E" w:rsidP="0021086C">
      <w:pPr>
        <w:spacing w:before="0" w:after="160" w:line="259" w:lineRule="auto"/>
        <w:rPr>
          <w:lang w:val="en-US"/>
        </w:rPr>
      </w:pPr>
      <w:r>
        <w:rPr>
          <w:rFonts w:eastAsia="Calibri"/>
          <w:lang w:val="en-US" w:eastAsia="en-US"/>
        </w:rPr>
        <w:t xml:space="preserve">Additionally, to ensure </w:t>
      </w:r>
      <w:proofErr w:type="spellStart"/>
      <w:r>
        <w:rPr>
          <w:rFonts w:eastAsia="Calibri"/>
          <w:lang w:val="en-US" w:eastAsia="en-US"/>
        </w:rPr>
        <w:t>investab</w:t>
      </w:r>
      <w:r w:rsidR="0021086C" w:rsidRPr="0076436B">
        <w:rPr>
          <w:rFonts w:eastAsia="Calibri"/>
          <w:lang w:val="en-US" w:eastAsia="en-US"/>
        </w:rPr>
        <w:t>ility</w:t>
      </w:r>
      <w:proofErr w:type="spellEnd"/>
      <w:r w:rsidR="0021086C" w:rsidRPr="0076436B">
        <w:rPr>
          <w:rFonts w:eastAsia="Calibri"/>
          <w:lang w:val="en-US" w:eastAsia="en-US"/>
        </w:rPr>
        <w:t xml:space="preserve"> of the Ind</w:t>
      </w:r>
      <w:r w:rsidR="00DF1ED4">
        <w:rPr>
          <w:rFonts w:eastAsia="Calibri"/>
          <w:lang w:val="en-US" w:eastAsia="en-US"/>
        </w:rPr>
        <w:t>ex</w:t>
      </w:r>
      <w:r w:rsidR="0021086C" w:rsidRPr="0076436B">
        <w:rPr>
          <w:rFonts w:eastAsia="Calibri"/>
          <w:lang w:val="en-US" w:eastAsia="en-US"/>
        </w:rPr>
        <w:t xml:space="preserve"> as well as </w:t>
      </w:r>
      <w:r w:rsidR="0021086C">
        <w:rPr>
          <w:rFonts w:eastAsia="Calibri"/>
          <w:lang w:val="en-US" w:eastAsia="en-US"/>
        </w:rPr>
        <w:t>reflect the actual liquidity available in the market</w:t>
      </w:r>
      <w:r w:rsidR="0021086C" w:rsidRPr="0076436B">
        <w:rPr>
          <w:rFonts w:eastAsia="Calibri"/>
          <w:lang w:val="en-US" w:eastAsia="en-US"/>
        </w:rPr>
        <w:t>,</w:t>
      </w:r>
      <w:r w:rsidR="0021086C" w:rsidRPr="0021086C">
        <w:rPr>
          <w:rFonts w:eastAsia="Calibri"/>
          <w:lang w:val="en-US" w:eastAsia="en-US"/>
        </w:rPr>
        <w:t xml:space="preserve"> </w:t>
      </w:r>
      <w:r w:rsidR="0021086C" w:rsidRPr="0076436B">
        <w:rPr>
          <w:rFonts w:eastAsia="Calibri"/>
          <w:lang w:val="en-US" w:eastAsia="en-US"/>
        </w:rPr>
        <w:t xml:space="preserve">the </w:t>
      </w:r>
      <w:r w:rsidR="0021086C">
        <w:rPr>
          <w:rFonts w:eastAsia="Calibri"/>
          <w:lang w:val="en-US" w:eastAsia="en-US"/>
        </w:rPr>
        <w:t>weighting concept</w:t>
      </w:r>
      <w:r w:rsidR="0021086C" w:rsidRPr="0076436B">
        <w:rPr>
          <w:rFonts w:eastAsia="Calibri"/>
          <w:lang w:val="en-US" w:eastAsia="en-US"/>
        </w:rPr>
        <w:t xml:space="preserve"> is proposed to be amended. </w:t>
      </w:r>
    </w:p>
    <w:bookmarkEnd w:id="1"/>
    <w:p w14:paraId="34825793" w14:textId="77777777" w:rsidR="00693891" w:rsidRDefault="00693891" w:rsidP="00F568D6">
      <w:pPr>
        <w:spacing w:before="0" w:after="160" w:line="259" w:lineRule="auto"/>
        <w:jc w:val="left"/>
        <w:rPr>
          <w:b/>
          <w:bCs/>
          <w:sz w:val="28"/>
          <w:szCs w:val="28"/>
          <w:u w:val="single"/>
          <w:lang w:val="en-GB"/>
        </w:rPr>
      </w:pPr>
    </w:p>
    <w:p w14:paraId="2A079CAD" w14:textId="26BCCFF3" w:rsidR="00F568D6" w:rsidRPr="00C654DE" w:rsidRDefault="004A428F" w:rsidP="00F568D6">
      <w:pPr>
        <w:spacing w:before="0" w:after="160" w:line="259" w:lineRule="auto"/>
        <w:jc w:val="left"/>
        <w:rPr>
          <w:b/>
          <w:bCs/>
          <w:sz w:val="28"/>
          <w:szCs w:val="28"/>
          <w:u w:val="single"/>
          <w:lang w:val="en-GB"/>
        </w:rPr>
      </w:pPr>
      <w:r w:rsidRPr="00C654DE">
        <w:rPr>
          <w:b/>
          <w:bCs/>
          <w:sz w:val="28"/>
          <w:szCs w:val="28"/>
          <w:u w:val="single"/>
          <w:lang w:val="en-GB"/>
        </w:rPr>
        <w:t xml:space="preserve">Proposed </w:t>
      </w:r>
      <w:r w:rsidR="00F568D6" w:rsidRPr="00C654DE">
        <w:rPr>
          <w:b/>
          <w:bCs/>
          <w:sz w:val="28"/>
          <w:szCs w:val="28"/>
          <w:u w:val="single"/>
          <w:lang w:val="en-GB"/>
        </w:rPr>
        <w:t>Changes to the Index Guideline</w:t>
      </w:r>
    </w:p>
    <w:p w14:paraId="7D66871B" w14:textId="3A89C11D" w:rsidR="004A428F" w:rsidRDefault="004A428F" w:rsidP="004A428F">
      <w:pPr>
        <w:spacing w:before="0" w:after="160" w:line="259" w:lineRule="auto"/>
        <w:jc w:val="left"/>
        <w:rPr>
          <w:lang w:val="en-GB"/>
        </w:rPr>
      </w:pPr>
      <w:r>
        <w:rPr>
          <w:lang w:val="en-GB"/>
        </w:rPr>
        <w:t>The following Methodology changes are proposed in the following points</w:t>
      </w:r>
      <w:r w:rsidR="00C32515">
        <w:rPr>
          <w:lang w:val="en-GB"/>
        </w:rPr>
        <w:t xml:space="preserve"> of the Index Guideline</w:t>
      </w:r>
      <w:r w:rsidR="007D62BC">
        <w:rPr>
          <w:lang w:val="en-GB"/>
        </w:rPr>
        <w:t>:</w:t>
      </w:r>
      <w:r>
        <w:rPr>
          <w:lang w:val="en-GB"/>
        </w:rPr>
        <w:t xml:space="preserve"> (ordered in accordance with the numbering of the affected sections):</w:t>
      </w:r>
    </w:p>
    <w:p w14:paraId="37A935FB" w14:textId="03F19AD1" w:rsidR="007D62BC" w:rsidRPr="00C879F7" w:rsidRDefault="007D62BC" w:rsidP="002663E0">
      <w:pPr>
        <w:spacing w:before="0" w:after="160" w:line="259" w:lineRule="auto"/>
        <w:jc w:val="left"/>
        <w:rPr>
          <w:b/>
          <w:bCs/>
          <w:iCs/>
          <w:lang w:val="en-GB"/>
        </w:rPr>
      </w:pPr>
      <w:r w:rsidRPr="00C879F7">
        <w:rPr>
          <w:b/>
          <w:bCs/>
          <w:iCs/>
          <w:lang w:val="en-GB"/>
        </w:rPr>
        <w:t xml:space="preserve">Section </w:t>
      </w:r>
      <w:r w:rsidR="00E77D7F">
        <w:rPr>
          <w:b/>
          <w:bCs/>
          <w:iCs/>
          <w:lang w:val="en-GB"/>
        </w:rPr>
        <w:t>1</w:t>
      </w:r>
      <w:r w:rsidR="00E77D7F" w:rsidRPr="00C879F7">
        <w:rPr>
          <w:b/>
          <w:bCs/>
          <w:iCs/>
          <w:lang w:val="en-GB"/>
        </w:rPr>
        <w:t>.1</w:t>
      </w:r>
      <w:r w:rsidR="00E77D7F">
        <w:rPr>
          <w:b/>
          <w:bCs/>
          <w:iCs/>
          <w:lang w:val="en-GB"/>
        </w:rPr>
        <w:t xml:space="preserve">0 </w:t>
      </w:r>
      <w:r w:rsidR="00E77D7F" w:rsidRPr="00C879F7">
        <w:rPr>
          <w:b/>
          <w:bCs/>
          <w:iCs/>
          <w:lang w:val="en-GB"/>
        </w:rPr>
        <w:t>Index</w:t>
      </w:r>
      <w:r w:rsidR="00540162" w:rsidRPr="00C879F7">
        <w:rPr>
          <w:b/>
          <w:bCs/>
          <w:iCs/>
          <w:lang w:val="en-GB"/>
        </w:rPr>
        <w:t xml:space="preserve"> Universe </w:t>
      </w:r>
    </w:p>
    <w:p w14:paraId="7BCE456F" w14:textId="77777777" w:rsidR="00EA1CC8" w:rsidRDefault="00EA1CC8" w:rsidP="00EA1CC8">
      <w:pPr>
        <w:spacing w:before="0" w:after="160" w:line="259" w:lineRule="auto"/>
        <w:jc w:val="left"/>
        <w:rPr>
          <w:i/>
          <w:lang w:val="en-US"/>
        </w:rPr>
      </w:pPr>
      <w:r>
        <w:rPr>
          <w:i/>
          <w:lang w:val="en-US"/>
        </w:rPr>
        <w:t>Old text:</w:t>
      </w:r>
    </w:p>
    <w:p w14:paraId="7419D3AC" w14:textId="77777777" w:rsidR="00EA1CC8" w:rsidRPr="00C654DE" w:rsidRDefault="00EA1CC8" w:rsidP="00C654DE">
      <w:pPr>
        <w:rPr>
          <w:lang w:val="en-US"/>
        </w:rPr>
      </w:pPr>
      <w:r w:rsidRPr="00C654DE">
        <w:rPr>
          <w:lang w:val="en-US"/>
        </w:rPr>
        <w:t>On each Selection Day that occurs in the month of April, the Index Universe shall be determined based on the data provided by Transport Intelligence as described below. On each Selection Day that occurs in the month of October, the Index Universe shall remain unchanged from the Index Universe determined on the immediately preceding Selection Day.</w:t>
      </w:r>
    </w:p>
    <w:p w14:paraId="25988E27" w14:textId="77777777" w:rsidR="00EA1CC8" w:rsidRPr="0076436B" w:rsidRDefault="00EA1CC8" w:rsidP="00EA1CC8">
      <w:pPr>
        <w:spacing w:before="0" w:after="160" w:line="259" w:lineRule="auto"/>
        <w:jc w:val="left"/>
        <w:rPr>
          <w:iCs/>
          <w:lang w:val="en-US"/>
        </w:rPr>
      </w:pPr>
      <w:r w:rsidRPr="0076436B">
        <w:rPr>
          <w:iCs/>
          <w:lang w:val="en-US"/>
        </w:rPr>
        <w:t>[...]</w:t>
      </w:r>
    </w:p>
    <w:p w14:paraId="508EB98D" w14:textId="77777777" w:rsidR="00EA1CC8" w:rsidRDefault="00EA1CC8" w:rsidP="002663E0">
      <w:pPr>
        <w:spacing w:before="0" w:after="160" w:line="259" w:lineRule="auto"/>
        <w:jc w:val="left"/>
        <w:rPr>
          <w:i/>
          <w:lang w:val="en-US"/>
        </w:rPr>
      </w:pPr>
    </w:p>
    <w:p w14:paraId="2A6423EC" w14:textId="77777777" w:rsidR="00EA1CC8" w:rsidRDefault="00EA1CC8" w:rsidP="002663E0">
      <w:pPr>
        <w:spacing w:before="0" w:after="160" w:line="259" w:lineRule="auto"/>
        <w:jc w:val="left"/>
        <w:rPr>
          <w:i/>
          <w:lang w:val="en-US"/>
        </w:rPr>
      </w:pPr>
    </w:p>
    <w:p w14:paraId="603560D3" w14:textId="0E7144AC" w:rsidR="006504A6" w:rsidRPr="00E77D7F" w:rsidRDefault="006504A6" w:rsidP="002663E0">
      <w:pPr>
        <w:spacing w:before="0" w:after="160" w:line="259" w:lineRule="auto"/>
        <w:jc w:val="left"/>
        <w:rPr>
          <w:i/>
          <w:lang w:val="en-GB"/>
        </w:rPr>
      </w:pPr>
      <w:r>
        <w:rPr>
          <w:i/>
          <w:lang w:val="en-US"/>
        </w:rPr>
        <w:t>New text:</w:t>
      </w:r>
    </w:p>
    <w:p w14:paraId="513C4A8F" w14:textId="77777777" w:rsidR="00EA1CC8" w:rsidRPr="00B77621" w:rsidRDefault="00EA1CC8" w:rsidP="00EA1CC8">
      <w:pPr>
        <w:rPr>
          <w:lang w:val="en-US"/>
        </w:rPr>
      </w:pPr>
      <w:r w:rsidRPr="00B77621">
        <w:rPr>
          <w:lang w:val="en-US"/>
        </w:rPr>
        <w:t>On each Selection Day that occurs in the month of April, the Index Universe shall be determined based on the data provided by Transport Intelligence as described below. On each Selection Day that occurs in the month of October, the Index Universe shall remain unchanged from the Index Universe determined on the immediately preceding Selection Day.</w:t>
      </w:r>
    </w:p>
    <w:p w14:paraId="069C8480" w14:textId="77777777" w:rsidR="0021086C" w:rsidRPr="0076436B" w:rsidRDefault="0021086C" w:rsidP="0021086C">
      <w:pPr>
        <w:spacing w:before="0" w:after="160" w:line="259" w:lineRule="auto"/>
        <w:jc w:val="left"/>
        <w:rPr>
          <w:iCs/>
          <w:lang w:val="en-US"/>
        </w:rPr>
      </w:pPr>
      <w:r w:rsidRPr="0076436B">
        <w:rPr>
          <w:iCs/>
          <w:lang w:val="en-US"/>
        </w:rPr>
        <w:t>[...]</w:t>
      </w:r>
    </w:p>
    <w:p w14:paraId="7A661ED2" w14:textId="3F0A1313" w:rsidR="006504A6" w:rsidRPr="006504A6" w:rsidRDefault="006504A6" w:rsidP="006504A6">
      <w:pPr>
        <w:rPr>
          <w:lang w:val="en-US"/>
        </w:rPr>
      </w:pPr>
      <w:r w:rsidRPr="006504A6">
        <w:rPr>
          <w:lang w:val="en-US"/>
        </w:rPr>
        <w:t xml:space="preserve">On each </w:t>
      </w:r>
      <w:r w:rsidRPr="00C654DE">
        <w:rPr>
          <w:lang w:val="en-US"/>
        </w:rPr>
        <w:t>Selection</w:t>
      </w:r>
      <w:r w:rsidRPr="006504A6">
        <w:rPr>
          <w:lang w:val="en-US"/>
        </w:rPr>
        <w:t xml:space="preserve"> </w:t>
      </w:r>
      <w:r w:rsidRPr="00C654DE">
        <w:rPr>
          <w:lang w:val="en-US"/>
        </w:rPr>
        <w:t>Day</w:t>
      </w:r>
      <w:r w:rsidRPr="006504A6">
        <w:rPr>
          <w:lang w:val="en-US"/>
        </w:rPr>
        <w:t xml:space="preserve">, any company included in the ESG Exclusions Enhanced Index as determined by </w:t>
      </w:r>
      <w:r w:rsidRPr="00C654DE">
        <w:rPr>
          <w:lang w:val="en-US"/>
        </w:rPr>
        <w:t>Solactive</w:t>
      </w:r>
      <w:r w:rsidRPr="006504A6">
        <w:rPr>
          <w:lang w:val="en-US"/>
        </w:rPr>
        <w:t xml:space="preserve"> is then excluded from the </w:t>
      </w:r>
      <w:r w:rsidRPr="00C654DE">
        <w:rPr>
          <w:lang w:val="en-US"/>
        </w:rPr>
        <w:t>Index</w:t>
      </w:r>
      <w:r w:rsidRPr="006504A6">
        <w:rPr>
          <w:lang w:val="en-US"/>
        </w:rPr>
        <w:t xml:space="preserve"> </w:t>
      </w:r>
      <w:r w:rsidRPr="00C654DE">
        <w:rPr>
          <w:lang w:val="en-US"/>
        </w:rPr>
        <w:t>Universe</w:t>
      </w:r>
      <w:r w:rsidRPr="006504A6">
        <w:rPr>
          <w:lang w:val="en-US"/>
        </w:rPr>
        <w:t xml:space="preserve">. Further, any company that is not a part of the </w:t>
      </w:r>
      <w:r w:rsidRPr="00C654DE">
        <w:rPr>
          <w:lang w:val="en-US"/>
        </w:rPr>
        <w:t>Index</w:t>
      </w:r>
      <w:r w:rsidRPr="006504A6">
        <w:rPr>
          <w:lang w:val="en-US"/>
        </w:rPr>
        <w:t xml:space="preserve"> </w:t>
      </w:r>
      <w:r w:rsidRPr="00C654DE">
        <w:rPr>
          <w:lang w:val="en-US"/>
        </w:rPr>
        <w:t>Universe</w:t>
      </w:r>
      <w:r w:rsidRPr="006504A6">
        <w:rPr>
          <w:lang w:val="en-US"/>
        </w:rPr>
        <w:t xml:space="preserve"> of the ESG Exclusions Enhanced Index as of the immediately preceding </w:t>
      </w:r>
      <w:r w:rsidRPr="00C654DE">
        <w:rPr>
          <w:lang w:val="en-US"/>
        </w:rPr>
        <w:t>Selection Day</w:t>
      </w:r>
      <w:r w:rsidRPr="006504A6">
        <w:rPr>
          <w:lang w:val="en-US"/>
        </w:rPr>
        <w:t xml:space="preserve"> of the ESG Exclusions Enhanced Index, shall be excluded from the </w:t>
      </w:r>
      <w:r w:rsidRPr="00C654DE">
        <w:rPr>
          <w:lang w:val="en-US"/>
        </w:rPr>
        <w:t>Index</w:t>
      </w:r>
      <w:r w:rsidRPr="006504A6">
        <w:rPr>
          <w:lang w:val="en-US"/>
        </w:rPr>
        <w:t xml:space="preserve"> </w:t>
      </w:r>
      <w:r w:rsidRPr="00C654DE">
        <w:rPr>
          <w:lang w:val="en-US"/>
        </w:rPr>
        <w:t>universe</w:t>
      </w:r>
      <w:r w:rsidRPr="006504A6">
        <w:rPr>
          <w:lang w:val="en-US"/>
        </w:rPr>
        <w:t>.</w:t>
      </w:r>
    </w:p>
    <w:p w14:paraId="3AB9525B" w14:textId="2BA83C13" w:rsidR="006504A6" w:rsidRPr="006504A6" w:rsidRDefault="006504A6" w:rsidP="006504A6">
      <w:pPr>
        <w:rPr>
          <w:lang w:val="en-US"/>
        </w:rPr>
      </w:pPr>
      <w:r w:rsidRPr="006504A6">
        <w:rPr>
          <w:lang w:val="en-US"/>
        </w:rPr>
        <w:t>The ESG Exclusions Enhanced Index</w:t>
      </w:r>
      <w:r w:rsidR="005C71E3">
        <w:rPr>
          <w:lang w:val="en-US"/>
        </w:rPr>
        <w:t xml:space="preserve"> </w:t>
      </w:r>
      <w:r w:rsidRPr="006504A6">
        <w:rPr>
          <w:lang w:val="en-US"/>
        </w:rPr>
        <w:t xml:space="preserve">is reconstituted by </w:t>
      </w:r>
      <w:r w:rsidRPr="00C654DE">
        <w:rPr>
          <w:lang w:val="en-US"/>
        </w:rPr>
        <w:t>Solactive</w:t>
      </w:r>
      <w:r w:rsidRPr="006504A6">
        <w:rPr>
          <w:lang w:val="en-US"/>
        </w:rPr>
        <w:t xml:space="preserve"> on a semi-annual basis and the methodology by reference to which the ESG Exclusions Enhanced Index is constructed, together with the most recent applicable categories and inclusion criteria, is available </w:t>
      </w:r>
      <w:r w:rsidRPr="00ED11E2">
        <w:rPr>
          <w:lang w:val="en-US"/>
        </w:rPr>
        <w:t xml:space="preserve">on the </w:t>
      </w:r>
      <w:hyperlink r:id="rId11" w:history="1">
        <w:r w:rsidR="00290811" w:rsidRPr="0076436B">
          <w:rPr>
            <w:rStyle w:val="Hyperlink"/>
            <w:lang w:val="en-US"/>
          </w:rPr>
          <w:t>Solactive</w:t>
        </w:r>
        <w:r w:rsidR="00290811" w:rsidRPr="00ED11E2">
          <w:rPr>
            <w:rStyle w:val="Hyperlink"/>
            <w:lang w:val="en-US"/>
          </w:rPr>
          <w:t xml:space="preserve"> </w:t>
        </w:r>
        <w:r w:rsidRPr="00ED11E2">
          <w:rPr>
            <w:rStyle w:val="Hyperlink"/>
            <w:lang w:val="en-US"/>
          </w:rPr>
          <w:t>website</w:t>
        </w:r>
      </w:hyperlink>
      <w:r w:rsidR="00290811" w:rsidRPr="0076436B">
        <w:rPr>
          <w:lang w:val="en-US"/>
        </w:rPr>
        <w:t>.</w:t>
      </w:r>
    </w:p>
    <w:p w14:paraId="72992E78" w14:textId="51C23A78" w:rsidR="006504A6" w:rsidRPr="006504A6" w:rsidRDefault="006504A6" w:rsidP="006504A6">
      <w:pPr>
        <w:rPr>
          <w:lang w:val="en-US"/>
        </w:rPr>
      </w:pPr>
      <w:r w:rsidRPr="006504A6">
        <w:rPr>
          <w:lang w:val="en-US"/>
        </w:rPr>
        <w:t xml:space="preserve">The applicable categories and inclusion criteria of the ESG Exclusions Enhanced Index as of </w:t>
      </w:r>
      <w:r>
        <w:rPr>
          <w:lang w:val="en-US"/>
        </w:rPr>
        <w:t>28</w:t>
      </w:r>
      <w:r w:rsidRPr="006504A6">
        <w:rPr>
          <w:vertAlign w:val="superscript"/>
          <w:lang w:val="en-US"/>
        </w:rPr>
        <w:t>th</w:t>
      </w:r>
      <w:r>
        <w:rPr>
          <w:lang w:val="en-US"/>
        </w:rPr>
        <w:t xml:space="preserve"> of</w:t>
      </w:r>
      <w:r w:rsidRPr="006504A6">
        <w:rPr>
          <w:lang w:val="en-US"/>
        </w:rPr>
        <w:t xml:space="preserve"> February 2022 are set out in A</w:t>
      </w:r>
      <w:proofErr w:type="spellStart"/>
      <w:r w:rsidR="00EA1CC8">
        <w:rPr>
          <w:lang w:val="en-DE"/>
        </w:rPr>
        <w:t>nnex</w:t>
      </w:r>
      <w:proofErr w:type="spellEnd"/>
      <w:r w:rsidR="00E77D7F">
        <w:rPr>
          <w:lang w:val="en-US"/>
        </w:rPr>
        <w:t xml:space="preserve"> C</w:t>
      </w:r>
      <w:r w:rsidRPr="006504A6">
        <w:rPr>
          <w:lang w:val="en-US"/>
        </w:rPr>
        <w:t xml:space="preserve"> of this document.</w:t>
      </w:r>
    </w:p>
    <w:p w14:paraId="0EE0678A" w14:textId="21FDB0C8" w:rsidR="006504A6" w:rsidRDefault="006504A6" w:rsidP="002663E0">
      <w:pPr>
        <w:spacing w:before="0" w:after="160" w:line="259" w:lineRule="auto"/>
        <w:jc w:val="left"/>
        <w:rPr>
          <w:i/>
          <w:lang w:val="en-US"/>
        </w:rPr>
      </w:pPr>
    </w:p>
    <w:p w14:paraId="21B87078" w14:textId="77777777" w:rsidR="00B466F2" w:rsidRDefault="00B466F2" w:rsidP="002663E0">
      <w:pPr>
        <w:spacing w:before="0" w:after="160" w:line="259" w:lineRule="auto"/>
        <w:jc w:val="left"/>
        <w:rPr>
          <w:i/>
          <w:lang w:val="en-US"/>
        </w:rPr>
      </w:pPr>
    </w:p>
    <w:p w14:paraId="6F4DA5A4" w14:textId="1F0B9721" w:rsidR="005C71E3" w:rsidRDefault="005C71E3" w:rsidP="002663E0">
      <w:pPr>
        <w:spacing w:before="0" w:after="160" w:line="259" w:lineRule="auto"/>
        <w:jc w:val="left"/>
        <w:rPr>
          <w:b/>
          <w:bCs/>
          <w:iCs/>
          <w:lang w:val="en-GB"/>
        </w:rPr>
      </w:pPr>
      <w:r w:rsidRPr="00C879F7">
        <w:rPr>
          <w:b/>
          <w:bCs/>
          <w:iCs/>
          <w:lang w:val="en-GB"/>
        </w:rPr>
        <w:t>Section 2.</w:t>
      </w:r>
      <w:r w:rsidR="00E77D7F">
        <w:rPr>
          <w:b/>
          <w:bCs/>
          <w:iCs/>
          <w:lang w:val="en-GB"/>
        </w:rPr>
        <w:t>2</w:t>
      </w:r>
      <w:r w:rsidR="00540162" w:rsidRPr="00C879F7">
        <w:rPr>
          <w:b/>
          <w:bCs/>
          <w:iCs/>
          <w:lang w:val="en-GB"/>
        </w:rPr>
        <w:t xml:space="preserve"> </w:t>
      </w:r>
      <w:r w:rsidR="00E77D7F">
        <w:rPr>
          <w:b/>
          <w:bCs/>
          <w:iCs/>
          <w:lang w:val="en-GB"/>
        </w:rPr>
        <w:t>Ordinary Adjustment</w:t>
      </w:r>
    </w:p>
    <w:p w14:paraId="2534C6CA" w14:textId="6AFEB711" w:rsidR="005C71E3" w:rsidRDefault="00E77D7F" w:rsidP="002663E0">
      <w:pPr>
        <w:spacing w:before="0" w:after="160" w:line="259" w:lineRule="auto"/>
        <w:jc w:val="left"/>
        <w:rPr>
          <w:i/>
          <w:lang w:val="en-US"/>
        </w:rPr>
      </w:pPr>
      <w:r>
        <w:rPr>
          <w:i/>
          <w:lang w:val="en-US"/>
        </w:rPr>
        <w:t>Old</w:t>
      </w:r>
      <w:r w:rsidR="005C71E3">
        <w:rPr>
          <w:i/>
          <w:lang w:val="en-US"/>
        </w:rPr>
        <w:t xml:space="preserve"> text:</w:t>
      </w:r>
    </w:p>
    <w:p w14:paraId="55BA57FC" w14:textId="77777777" w:rsidR="00EA1CC8" w:rsidRPr="0076436B" w:rsidRDefault="00EA1CC8" w:rsidP="00EA1CC8">
      <w:pPr>
        <w:spacing w:before="0" w:after="160" w:line="259" w:lineRule="auto"/>
        <w:jc w:val="left"/>
        <w:rPr>
          <w:iCs/>
          <w:lang w:val="en-US"/>
        </w:rPr>
      </w:pPr>
      <w:r w:rsidRPr="0076436B">
        <w:rPr>
          <w:iCs/>
          <w:lang w:val="en-US"/>
        </w:rPr>
        <w:t>[...]</w:t>
      </w:r>
    </w:p>
    <w:p w14:paraId="627C2553" w14:textId="77777777" w:rsidR="00E77D7F" w:rsidRPr="00E77D7F" w:rsidRDefault="00E77D7F" w:rsidP="00E77D7F">
      <w:pPr>
        <w:rPr>
          <w:lang w:val="en-GB" w:eastAsia="en-US"/>
        </w:rPr>
      </w:pPr>
      <w:r w:rsidRPr="00E77D7F">
        <w:rPr>
          <w:lang w:val="en-GB" w:eastAsia="en-US"/>
        </w:rPr>
        <w:t xml:space="preserve">In respect of each Selection Day immediately preceding such Adjustment Day that is a Rebalancing Day, each Index Component is weighted equally such that </w:t>
      </w:r>
      <w:r w:rsidRPr="00E77D7F">
        <w:rPr>
          <w:lang w:val="en-US" w:eastAsia="en-US"/>
        </w:rPr>
        <w:t>the total Index Component Weight of all Index Components is equal to 100%</w:t>
      </w:r>
      <w:r w:rsidRPr="00E77D7F">
        <w:rPr>
          <w:lang w:val="en-GB" w:eastAsia="en-US"/>
        </w:rPr>
        <w:t>, subject to the following constraints:</w:t>
      </w:r>
    </w:p>
    <w:p w14:paraId="4FB0BAB1" w14:textId="77777777" w:rsidR="00E77D7F" w:rsidRPr="00E77D7F" w:rsidRDefault="00E77D7F" w:rsidP="00E77D7F">
      <w:pPr>
        <w:numPr>
          <w:ilvl w:val="0"/>
          <w:numId w:val="27"/>
        </w:numPr>
        <w:rPr>
          <w:lang w:val="en-GB" w:eastAsia="en-US"/>
        </w:rPr>
      </w:pPr>
      <w:r w:rsidRPr="00E77D7F">
        <w:rPr>
          <w:lang w:val="en-GB" w:eastAsia="en-US"/>
        </w:rPr>
        <w:t>if the 3m Average Daily Value Traded is less than USD 2,000,000, then the Index Component Weight of such Index Component shall be capped at 1% provided the initial weight is greater than 1%;</w:t>
      </w:r>
    </w:p>
    <w:p w14:paraId="49F6F476" w14:textId="77777777" w:rsidR="00E77D7F" w:rsidRPr="00E77D7F" w:rsidRDefault="00E77D7F" w:rsidP="00E77D7F">
      <w:pPr>
        <w:numPr>
          <w:ilvl w:val="0"/>
          <w:numId w:val="27"/>
        </w:numPr>
        <w:rPr>
          <w:lang w:val="en-GB" w:eastAsia="en-US"/>
        </w:rPr>
      </w:pPr>
      <w:r w:rsidRPr="00E77D7F">
        <w:rPr>
          <w:lang w:val="en-GB" w:eastAsia="en-US"/>
        </w:rPr>
        <w:t>if the 3m Average Daily Value Traded is less than USD 3,000,000 but greater than or equal to USD 2,000,000, then the Index Component Weight of such Index Component shall be capped at 2% provided the initial weight is greater than 2%; and</w:t>
      </w:r>
    </w:p>
    <w:p w14:paraId="220D3CBE" w14:textId="77777777" w:rsidR="00E77D7F" w:rsidRPr="00E77D7F" w:rsidRDefault="00E77D7F" w:rsidP="00E77D7F">
      <w:pPr>
        <w:numPr>
          <w:ilvl w:val="0"/>
          <w:numId w:val="27"/>
        </w:numPr>
        <w:rPr>
          <w:lang w:val="en-GB" w:eastAsia="en-US"/>
        </w:rPr>
      </w:pPr>
      <w:r w:rsidRPr="00E77D7F">
        <w:rPr>
          <w:lang w:val="en-GB" w:eastAsia="en-US"/>
        </w:rPr>
        <w:t>if the 3m Average Daily Value Traded is less than USD 4,000,000 but greater than or equal to USD 3,000,000, then the Index Component Weight of such Index Component shall be capped at 3% provided the initial weight is greater than 3%.</w:t>
      </w:r>
    </w:p>
    <w:p w14:paraId="4DFE4F3C" w14:textId="70E011BF" w:rsidR="00E77D7F" w:rsidRDefault="00E77D7F" w:rsidP="00E77D7F">
      <w:pPr>
        <w:rPr>
          <w:lang w:val="en-US" w:eastAsia="en-US"/>
        </w:rPr>
      </w:pPr>
      <w:r w:rsidRPr="00E77D7F">
        <w:rPr>
          <w:lang w:val="en-GB" w:eastAsia="en-US"/>
        </w:rPr>
        <w:t xml:space="preserve">Any residual weight that arises from capping the Index Component Weights shall be distributed equally to the remaining Index Components, subject to the constraints i-iii above. For the avoidance of doubt, Index </w:t>
      </w:r>
      <w:r w:rsidRPr="00E77D7F">
        <w:rPr>
          <w:lang w:val="en-GB" w:eastAsia="en-US"/>
        </w:rPr>
        <w:lastRenderedPageBreak/>
        <w:t>Components affected from the aforementioned constraints will be excluded from the weight redistribution if this process increases their weight above the defined weight caps.</w:t>
      </w:r>
    </w:p>
    <w:p w14:paraId="67F98872" w14:textId="77777777" w:rsidR="00D75769" w:rsidRPr="0076436B" w:rsidRDefault="00D75769" w:rsidP="00D75769">
      <w:pPr>
        <w:spacing w:before="0" w:after="160" w:line="259" w:lineRule="auto"/>
        <w:jc w:val="left"/>
        <w:rPr>
          <w:iCs/>
          <w:lang w:val="en-US"/>
        </w:rPr>
      </w:pPr>
      <w:r w:rsidRPr="0076436B">
        <w:rPr>
          <w:iCs/>
          <w:lang w:val="en-US"/>
        </w:rPr>
        <w:t>[...]</w:t>
      </w:r>
    </w:p>
    <w:p w14:paraId="6DB400BB" w14:textId="77777777" w:rsidR="00E77D7F" w:rsidRDefault="00E77D7F" w:rsidP="005C71E3">
      <w:pPr>
        <w:rPr>
          <w:lang w:val="en-US" w:eastAsia="en-US"/>
        </w:rPr>
      </w:pPr>
    </w:p>
    <w:p w14:paraId="56DF263E" w14:textId="580BD979" w:rsidR="00E77D7F" w:rsidRDefault="00E77D7F" w:rsidP="00E77D7F">
      <w:pPr>
        <w:spacing w:before="0" w:after="160" w:line="259" w:lineRule="auto"/>
        <w:jc w:val="left"/>
        <w:rPr>
          <w:i/>
          <w:lang w:val="en-US"/>
        </w:rPr>
      </w:pPr>
      <w:r>
        <w:rPr>
          <w:i/>
          <w:lang w:val="en-US"/>
        </w:rPr>
        <w:t>New text:</w:t>
      </w:r>
    </w:p>
    <w:p w14:paraId="310615AA" w14:textId="77777777" w:rsidR="002E1D74" w:rsidRPr="0076436B" w:rsidRDefault="002E1D74" w:rsidP="002E1D74">
      <w:pPr>
        <w:spacing w:before="0" w:after="160" w:line="259" w:lineRule="auto"/>
        <w:jc w:val="left"/>
        <w:rPr>
          <w:iCs/>
          <w:lang w:val="en-US"/>
        </w:rPr>
      </w:pPr>
      <w:r w:rsidRPr="0076436B">
        <w:rPr>
          <w:iCs/>
          <w:lang w:val="en-US"/>
        </w:rPr>
        <w:t>[...]</w:t>
      </w:r>
    </w:p>
    <w:p w14:paraId="157C268A" w14:textId="77777777" w:rsidR="00E77D7F" w:rsidRDefault="00E77D7F" w:rsidP="005C71E3">
      <w:pPr>
        <w:rPr>
          <w:lang w:val="en-US" w:eastAsia="en-US"/>
        </w:rPr>
      </w:pPr>
    </w:p>
    <w:p w14:paraId="765654F8" w14:textId="2D8D016B" w:rsidR="005C71E3" w:rsidRDefault="005C71E3" w:rsidP="005C71E3">
      <w:pPr>
        <w:rPr>
          <w:lang w:val="en-US" w:eastAsia="en-US"/>
        </w:rPr>
      </w:pPr>
      <w:r>
        <w:rPr>
          <w:lang w:val="en-US" w:eastAsia="en-US"/>
        </w:rPr>
        <w:t xml:space="preserve">On each </w:t>
      </w:r>
      <w:r w:rsidRPr="00C654DE">
        <w:rPr>
          <w:lang w:val="en-GB" w:eastAsia="en-US"/>
        </w:rPr>
        <w:t>Selection Day each Index Component</w:t>
      </w:r>
      <w:r w:rsidRPr="00E778AD">
        <w:rPr>
          <w:lang w:val="en-US" w:eastAsia="en-US"/>
        </w:rPr>
        <w:t xml:space="preserve"> is </w:t>
      </w:r>
      <w:r>
        <w:rPr>
          <w:lang w:val="en-US" w:eastAsia="en-US"/>
        </w:rPr>
        <w:t xml:space="preserve">weighted </w:t>
      </w:r>
      <w:r w:rsidRPr="00462472">
        <w:rPr>
          <w:lang w:val="en-US" w:eastAsia="en-US"/>
        </w:rPr>
        <w:t>in accordance with the following steps</w:t>
      </w:r>
      <w:r w:rsidDel="00160A5D">
        <w:rPr>
          <w:lang w:val="en-US" w:eastAsia="en-US"/>
        </w:rPr>
        <w:t xml:space="preserve"> </w:t>
      </w:r>
    </w:p>
    <w:p w14:paraId="6906A9A6" w14:textId="77777777" w:rsidR="005C71E3" w:rsidRPr="00F906F5" w:rsidRDefault="005C71E3" w:rsidP="005C71E3">
      <w:pPr>
        <w:pStyle w:val="ListParagraph"/>
        <w:numPr>
          <w:ilvl w:val="0"/>
          <w:numId w:val="24"/>
        </w:numPr>
        <w:rPr>
          <w:lang w:val="en-US" w:eastAsia="en-US"/>
        </w:rPr>
      </w:pPr>
      <w:r>
        <w:rPr>
          <w:lang w:val="en-US" w:eastAsia="en-US"/>
        </w:rPr>
        <w:t>E</w:t>
      </w:r>
      <w:r w:rsidRPr="003E28B7">
        <w:rPr>
          <w:lang w:val="en-US" w:eastAsia="en-US"/>
        </w:rPr>
        <w:t xml:space="preserve">ach Index Component is </w:t>
      </w:r>
      <w:r>
        <w:rPr>
          <w:lang w:val="en-US" w:eastAsia="en-US"/>
        </w:rPr>
        <w:t xml:space="preserve">initially </w:t>
      </w:r>
      <w:r w:rsidRPr="003E28B7">
        <w:rPr>
          <w:lang w:val="en-US" w:eastAsia="en-US"/>
        </w:rPr>
        <w:t xml:space="preserve">weighted equally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w:t>
      </w:r>
    </w:p>
    <w:p w14:paraId="3FA741C3" w14:textId="77777777" w:rsidR="005C71E3" w:rsidRDefault="005C71E3" w:rsidP="005C71E3">
      <w:pPr>
        <w:pStyle w:val="ListParagraph"/>
        <w:numPr>
          <w:ilvl w:val="0"/>
          <w:numId w:val="24"/>
        </w:numPr>
        <w:spacing w:after="240"/>
        <w:rPr>
          <w:lang w:val="en-US" w:eastAsia="en-US"/>
        </w:rPr>
      </w:pPr>
      <w:r>
        <w:rPr>
          <w:lang w:val="en-US" w:eastAsia="en-US"/>
        </w:rPr>
        <w:t>Then, f</w:t>
      </w:r>
      <w:r w:rsidRPr="003E28B7">
        <w:rPr>
          <w:lang w:val="en-US" w:eastAsia="en-US"/>
        </w:rPr>
        <w:t xml:space="preserve">or each Index Component </w:t>
      </w:r>
      <w:r>
        <w:rPr>
          <w:lang w:val="en-US" w:eastAsia="en-US"/>
        </w:rPr>
        <w:t>the</w:t>
      </w:r>
      <w:r w:rsidRPr="003E28B7">
        <w:rPr>
          <w:lang w:val="en-US" w:eastAsia="en-US"/>
        </w:rPr>
        <w:t xml:space="preserve"> maximum weight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r>
          <w:rPr>
            <w:rFonts w:ascii="Cambria Math" w:hAnsi="Cambria Math"/>
            <w:lang w:val="en-GB"/>
          </w:rPr>
          <m:t xml:space="preserve"> </m:t>
        </m:r>
      </m:oMath>
      <w:r w:rsidRPr="003E28B7">
        <w:rPr>
          <w:lang w:val="en-US" w:eastAsia="en-US"/>
        </w:rPr>
        <w:t xml:space="preserve">is </w:t>
      </w:r>
      <w:r w:rsidRPr="00C4296C">
        <w:rPr>
          <w:lang w:val="en-US" w:eastAsia="en-US"/>
        </w:rPr>
        <w:t xml:space="preserve">calculated </w:t>
      </w:r>
      <w:r>
        <w:rPr>
          <w:lang w:val="en-US" w:eastAsia="en-US"/>
        </w:rPr>
        <w:t>as:</w:t>
      </w:r>
    </w:p>
    <w:p w14:paraId="0E92A45E" w14:textId="77777777" w:rsidR="005C71E3" w:rsidRPr="00C4296C" w:rsidRDefault="00C654DE" w:rsidP="005C71E3">
      <w:pPr>
        <w:pStyle w:val="ListParagraph"/>
        <w:rPr>
          <w:lang w:val="en-US" w:eastAsia="en-US"/>
        </w:rPr>
      </w:pPr>
      <m:oMathPara>
        <m:oMath>
          <m:sSub>
            <m:sSubPr>
              <m:ctrlPr>
                <w:rPr>
                  <w:rFonts w:ascii="Cambria Math" w:hAnsi="Cambria Math"/>
                  <w:i/>
                </w:rPr>
              </m:ctrlPr>
            </m:sSubPr>
            <m:e>
              <m:r>
                <w:rPr>
                  <w:rFonts w:ascii="Cambria Math" w:hAnsi="Cambria Math"/>
                </w:rPr>
                <m:t>w</m:t>
              </m:r>
            </m:e>
            <m:sub>
              <m:r>
                <w:rPr>
                  <w:rFonts w:ascii="Cambria Math" w:hAnsi="Cambria Math"/>
                </w:rPr>
                <m:t>i, max</m:t>
              </m:r>
            </m:sub>
          </m:sSub>
          <m:r>
            <w:rPr>
              <w:rFonts w:ascii="Cambria Math" w:hAnsi="Cambria Math"/>
              <w:lang w:val="en-GB"/>
            </w:rPr>
            <m:t xml:space="preserve"> </m:t>
          </m:r>
          <m:r>
            <w:rPr>
              <w:rFonts w:ascii="Cambria Math" w:hAnsi="Cambria Math"/>
            </w:rPr>
            <m:t>= Min</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w</m:t>
                  </m:r>
                </m:e>
                <m:sub>
                  <m:r>
                    <w:rPr>
                      <w:rFonts w:ascii="Cambria Math" w:hAnsi="Cambria Math"/>
                    </w:rPr>
                    <m:t>i, max</m:t>
                  </m:r>
                </m:sub>
                <m:sup>
                  <m:r>
                    <w:rPr>
                      <w:rFonts w:ascii="Cambria Math" w:hAnsi="Cambria Math"/>
                    </w:rPr>
                    <m:t>liquidity</m:t>
                  </m:r>
                </m:sup>
              </m:sSubSup>
              <m:r>
                <w:rPr>
                  <w:rFonts w:ascii="Cambria Math" w:hAnsi="Cambria Math"/>
                </w:rPr>
                <m:t xml:space="preserve">, </m:t>
              </m:r>
              <m:sSubSup>
                <m:sSubSupPr>
                  <m:ctrlPr>
                    <w:rPr>
                      <w:rFonts w:ascii="Cambria Math" w:hAnsi="Cambria Math"/>
                      <w:i/>
                    </w:rPr>
                  </m:ctrlPr>
                </m:sSubSupPr>
                <m:e>
                  <m:r>
                    <w:rPr>
                      <w:rFonts w:ascii="Cambria Math" w:hAnsi="Cambria Math"/>
                    </w:rPr>
                    <m:t>w</m:t>
                  </m:r>
                </m:e>
                <m:sub>
                  <m:r>
                    <w:rPr>
                      <w:rFonts w:ascii="Cambria Math" w:hAnsi="Cambria Math"/>
                    </w:rPr>
                    <m:t>i, max</m:t>
                  </m:r>
                </m:sub>
                <m:sup>
                  <m:r>
                    <w:rPr>
                      <w:rFonts w:ascii="Cambria Math" w:hAnsi="Cambria Math"/>
                    </w:rPr>
                    <m:t>ownership</m:t>
                  </m:r>
                </m:sup>
              </m:sSubSup>
            </m:e>
          </m:d>
        </m:oMath>
      </m:oMathPara>
    </w:p>
    <w:p w14:paraId="2AB86B6A" w14:textId="77777777" w:rsidR="005C71E3" w:rsidRPr="00F906F5" w:rsidRDefault="005C71E3" w:rsidP="005C71E3">
      <w:pPr>
        <w:spacing w:before="0" w:after="160" w:line="259" w:lineRule="auto"/>
        <w:ind w:left="709"/>
        <w:contextualSpacing/>
        <w:jc w:val="left"/>
      </w:pPr>
      <w:r w:rsidRPr="00F906F5">
        <w:t>where,</w:t>
      </w:r>
    </w:p>
    <w:p w14:paraId="7FFD7CFF" w14:textId="77777777" w:rsidR="005C71E3" w:rsidRDefault="00C654DE" w:rsidP="005C71E3">
      <w:pPr>
        <w:pStyle w:val="ListParagraph"/>
        <w:spacing w:after="240"/>
      </w:pPr>
      <m:oMathPara>
        <m:oMath>
          <m:sSubSup>
            <m:sSubSupPr>
              <m:ctrlPr>
                <w:rPr>
                  <w:rFonts w:ascii="Cambria Math" w:hAnsi="Cambria Math"/>
                  <w:i/>
                </w:rPr>
              </m:ctrlPr>
            </m:sSubSupPr>
            <m:e>
              <m:r>
                <w:rPr>
                  <w:rFonts w:ascii="Cambria Math" w:hAnsi="Cambria Math"/>
                </w:rPr>
                <m:t>w</m:t>
              </m:r>
            </m:e>
            <m:sub>
              <m:r>
                <w:rPr>
                  <w:rFonts w:ascii="Cambria Math" w:hAnsi="Cambria Math"/>
                </w:rPr>
                <m:t>i, max</m:t>
              </m:r>
            </m:sub>
            <m:sup>
              <m:r>
                <w:rPr>
                  <w:rFonts w:ascii="Cambria Math" w:hAnsi="Cambria Math"/>
                </w:rPr>
                <m:t>liquidity</m:t>
              </m:r>
            </m:sup>
          </m:sSubSup>
          <m:r>
            <w:rPr>
              <w:rFonts w:ascii="Cambria Math" w:hAnsi="Cambria Math"/>
            </w:rPr>
            <m:t xml:space="preserve"> = </m:t>
          </m:r>
          <m:f>
            <m:fPr>
              <m:ctrlPr>
                <w:rPr>
                  <w:rFonts w:ascii="Cambria Math" w:hAnsi="Cambria Math"/>
                  <w:i/>
                </w:rPr>
              </m:ctrlPr>
            </m:fPr>
            <m:num>
              <m:d>
                <m:dPr>
                  <m:ctrlPr>
                    <w:rPr>
                      <w:rFonts w:ascii="Cambria Math" w:hAnsi="Cambria Math"/>
                      <w:i/>
                    </w:rPr>
                  </m:ctrlPr>
                </m:dPr>
                <m:e>
                  <m:r>
                    <w:rPr>
                      <w:rFonts w:ascii="Cambria Math" w:hAnsi="Cambria Math"/>
                    </w:rPr>
                    <m:t>1 – Haircut</m:t>
                  </m:r>
                </m:e>
              </m:d>
              <m:r>
                <w:rPr>
                  <w:rFonts w:ascii="Cambria Math" w:hAnsi="Cambria Math"/>
                </w:rPr>
                <m:t>× Liquidity Measure× Participation (%)</m:t>
              </m:r>
            </m:num>
            <m:den>
              <m:r>
                <w:rPr>
                  <w:rFonts w:ascii="Cambria Math" w:hAnsi="Cambria Math"/>
                </w:rPr>
                <m:t>AuM× Turnover</m:t>
              </m:r>
            </m:den>
          </m:f>
          <m:r>
            <w:rPr>
              <w:rFonts w:ascii="Cambria Math" w:hAnsi="Cambria Math"/>
            </w:rPr>
            <m:t xml:space="preserve">    </m:t>
          </m:r>
        </m:oMath>
      </m:oMathPara>
    </w:p>
    <w:p w14:paraId="3AB14B62" w14:textId="77777777" w:rsidR="005C71E3" w:rsidRDefault="00C654DE" w:rsidP="005C71E3">
      <w:pPr>
        <w:ind w:left="708"/>
        <w:rPr>
          <w:lang w:val="en-GB"/>
        </w:rPr>
      </w:pPr>
      <m:oMathPara>
        <m:oMath>
          <m:sSubSup>
            <m:sSubSupPr>
              <m:ctrlPr>
                <w:rPr>
                  <w:rFonts w:ascii="Cambria Math" w:hAnsi="Cambria Math"/>
                  <w:i/>
                </w:rPr>
              </m:ctrlPr>
            </m:sSubSupPr>
            <m:e>
              <m:r>
                <w:rPr>
                  <w:rFonts w:ascii="Cambria Math" w:hAnsi="Cambria Math"/>
                </w:rPr>
                <m:t>w</m:t>
              </m:r>
            </m:e>
            <m:sub>
              <m:r>
                <w:rPr>
                  <w:rFonts w:ascii="Cambria Math" w:hAnsi="Cambria Math"/>
                </w:rPr>
                <m:t>i,max</m:t>
              </m:r>
            </m:sub>
            <m:sup>
              <m:r>
                <w:rPr>
                  <w:rFonts w:ascii="Cambria Math" w:hAnsi="Cambria Math"/>
                </w:rPr>
                <m:t>ownership</m:t>
              </m:r>
            </m:sup>
          </m:sSubSup>
          <m:r>
            <w:rPr>
              <w:rFonts w:ascii="Cambria Math" w:hAnsi="Cambria Math"/>
            </w:rPr>
            <m:t xml:space="preserve"> = </m:t>
          </m:r>
          <m:f>
            <m:fPr>
              <m:ctrlPr>
                <w:rPr>
                  <w:rFonts w:ascii="Cambria Math" w:hAnsi="Cambria Math"/>
                  <w:i/>
                </w:rPr>
              </m:ctrlPr>
            </m:fPr>
            <m:num>
              <m:r>
                <w:rPr>
                  <w:rFonts w:ascii="Cambria Math" w:hAnsi="Cambria Math"/>
                </w:rPr>
                <m:t>Market Cap× Max Ownership</m:t>
              </m:r>
            </m:num>
            <m:den>
              <m:r>
                <w:rPr>
                  <w:rFonts w:ascii="Cambria Math" w:hAnsi="Cambria Math"/>
                </w:rPr>
                <m:t>AuM</m:t>
              </m:r>
            </m:den>
          </m:f>
        </m:oMath>
      </m:oMathPara>
    </w:p>
    <w:p w14:paraId="3EA5B51C" w14:textId="27034EAE" w:rsidR="005C71E3" w:rsidRDefault="00540162" w:rsidP="005C71E3">
      <w:pPr>
        <w:ind w:left="708"/>
        <w:rPr>
          <w:lang w:val="en-GB"/>
        </w:rPr>
      </w:pPr>
      <w:r>
        <w:rPr>
          <w:lang w:val="en-GB"/>
        </w:rPr>
        <w:t>Where:</w:t>
      </w:r>
    </w:p>
    <w:p w14:paraId="7621CA16" w14:textId="0F5673B8" w:rsidR="005C71E3" w:rsidRDefault="005C71E3" w:rsidP="005C71E3">
      <w:pPr>
        <w:ind w:left="708"/>
        <w:rPr>
          <w:lang w:val="en-GB"/>
        </w:rPr>
      </w:pPr>
      <w:proofErr w:type="spellStart"/>
      <w:r>
        <w:rPr>
          <w:lang w:val="en-GB"/>
        </w:rPr>
        <w:t>AuM</w:t>
      </w:r>
      <w:proofErr w:type="spellEnd"/>
      <w:r>
        <w:rPr>
          <w:lang w:val="en-GB"/>
        </w:rPr>
        <w:t xml:space="preserve"> </w:t>
      </w:r>
      <w:r w:rsidR="00C654DE">
        <w:rPr>
          <w:lang w:val="en-GB"/>
        </w:rPr>
        <w:t xml:space="preserve">- </w:t>
      </w:r>
      <w:r w:rsidR="00C654DE" w:rsidRPr="00EE1FD8">
        <w:rPr>
          <w:lang w:val="en-GB"/>
        </w:rPr>
        <w:t>the</w:t>
      </w:r>
      <w:r w:rsidR="00C654DE">
        <w:rPr>
          <w:lang w:val="en-GB"/>
        </w:rPr>
        <w:t xml:space="preserve"> maximum of</w:t>
      </w:r>
      <w:r w:rsidR="00C654DE" w:rsidRPr="00EE1FD8">
        <w:rPr>
          <w:lang w:val="en-GB"/>
        </w:rPr>
        <w:t xml:space="preserve"> total assets under management in US Dollars of ETFs tracking the index as listed in</w:t>
      </w:r>
      <w:r w:rsidRPr="00EE1FD8">
        <w:rPr>
          <w:lang w:val="en-GB"/>
        </w:rPr>
        <w:t xml:space="preserve"> Appendix </w:t>
      </w:r>
      <w:r w:rsidR="000A49F3">
        <w:rPr>
          <w:lang w:val="en-GB"/>
        </w:rPr>
        <w:t>D</w:t>
      </w:r>
      <w:r>
        <w:rPr>
          <w:lang w:val="en-GB"/>
        </w:rPr>
        <w:t xml:space="preserve"> and </w:t>
      </w:r>
      <w:r w:rsidR="00540162">
        <w:rPr>
          <w:lang w:val="en-GB"/>
        </w:rPr>
        <w:t>USD</w:t>
      </w:r>
      <w:r>
        <w:rPr>
          <w:lang w:val="en-GB"/>
        </w:rPr>
        <w:t xml:space="preserve"> 50 million;</w:t>
      </w:r>
    </w:p>
    <w:p w14:paraId="12AE0F07" w14:textId="77777777" w:rsidR="00C654DE" w:rsidRPr="007C66F9" w:rsidRDefault="00C654DE" w:rsidP="00C654DE">
      <w:pPr>
        <w:ind w:firstLine="708"/>
        <w:rPr>
          <w:lang w:val="en-GB"/>
        </w:rPr>
      </w:pPr>
      <w:r w:rsidRPr="007C66F9">
        <w:rPr>
          <w:lang w:val="en-GB"/>
        </w:rPr>
        <w:t xml:space="preserve">Haircut </w:t>
      </w:r>
      <w:r>
        <w:rPr>
          <w:lang w:val="en-GB"/>
        </w:rPr>
        <w:t>- assumed</w:t>
      </w:r>
      <w:r w:rsidRPr="007C66F9">
        <w:rPr>
          <w:lang w:val="en-GB"/>
        </w:rPr>
        <w:t xml:space="preserve"> </w:t>
      </w:r>
      <w:r>
        <w:rPr>
          <w:lang w:val="en-GB"/>
        </w:rPr>
        <w:t>1</w:t>
      </w:r>
      <w:r w:rsidRPr="007C66F9">
        <w:rPr>
          <w:lang w:val="en-GB"/>
        </w:rPr>
        <w:t>0%</w:t>
      </w:r>
      <w:r>
        <w:rPr>
          <w:lang w:val="en-GB"/>
        </w:rPr>
        <w:t>;</w:t>
      </w:r>
    </w:p>
    <w:p w14:paraId="3A833F62" w14:textId="77777777" w:rsidR="00C654DE" w:rsidRDefault="00C654DE" w:rsidP="00C654DE">
      <w:pPr>
        <w:ind w:left="708"/>
        <w:rPr>
          <w:rFonts w:ascii="Flama Semicondensed Medium" w:hAnsi="Flama Semicondensed Medium"/>
          <w:smallCaps/>
          <w:lang w:val="en-US"/>
        </w:rPr>
      </w:pPr>
      <w:r>
        <w:rPr>
          <w:lang w:val="en-GB"/>
        </w:rPr>
        <w:t xml:space="preserve">Liquidity Measure -  </w:t>
      </w:r>
      <w:r w:rsidRPr="007C66F9">
        <w:rPr>
          <w:lang w:val="en-GB"/>
        </w:rPr>
        <w:t>3</w:t>
      </w:r>
      <w:r>
        <w:rPr>
          <w:lang w:val="en-GB"/>
        </w:rPr>
        <w:t xml:space="preserve">-month USD </w:t>
      </w:r>
      <w:r w:rsidRPr="007C66F9">
        <w:rPr>
          <w:rFonts w:ascii="Flama Semicondensed Medium" w:hAnsi="Flama Semicondensed Medium"/>
          <w:smallCaps/>
          <w:lang w:val="en-US"/>
        </w:rPr>
        <w:t>A</w:t>
      </w:r>
      <w:r w:rsidRPr="001F3227">
        <w:rPr>
          <w:rFonts w:ascii="Flama Semicondensed Medium" w:hAnsi="Flama Semicondensed Medium"/>
          <w:smallCaps/>
          <w:lang w:val="en-US"/>
        </w:rPr>
        <w:t>verage Daily Value Traded</w:t>
      </w:r>
      <w:r>
        <w:rPr>
          <w:rFonts w:ascii="Flama Semicondensed Medium" w:hAnsi="Flama Semicondensed Medium"/>
          <w:smallCaps/>
          <w:lang w:val="en-US"/>
        </w:rPr>
        <w:t>;</w:t>
      </w:r>
    </w:p>
    <w:p w14:paraId="58236326" w14:textId="77777777" w:rsidR="00C654DE" w:rsidRDefault="00C654DE" w:rsidP="00C654DE">
      <w:pPr>
        <w:ind w:left="708"/>
        <w:rPr>
          <w:lang w:val="en-GB"/>
        </w:rPr>
      </w:pPr>
      <w:r>
        <w:rPr>
          <w:lang w:val="en-GB"/>
        </w:rPr>
        <w:t xml:space="preserve">Market Cap - </w:t>
      </w:r>
      <w:r w:rsidRPr="00EE1FD8">
        <w:rPr>
          <w:lang w:val="en-GB"/>
        </w:rPr>
        <w:t xml:space="preserve"> the </w:t>
      </w:r>
      <w:r>
        <w:rPr>
          <w:lang w:val="en-GB"/>
        </w:rPr>
        <w:t xml:space="preserve">company full </w:t>
      </w:r>
      <w:r w:rsidRPr="00EE1FD8">
        <w:rPr>
          <w:lang w:val="en-GB"/>
        </w:rPr>
        <w:t xml:space="preserve">market capitalisation in </w:t>
      </w:r>
      <w:r>
        <w:rPr>
          <w:lang w:val="en-GB"/>
        </w:rPr>
        <w:t>USD;</w:t>
      </w:r>
    </w:p>
    <w:p w14:paraId="609F8CC2" w14:textId="77777777" w:rsidR="00C654DE" w:rsidRDefault="00C654DE" w:rsidP="00C654DE">
      <w:pPr>
        <w:ind w:left="708"/>
        <w:rPr>
          <w:lang w:val="en-GB"/>
        </w:rPr>
      </w:pPr>
      <w:r>
        <w:rPr>
          <w:lang w:val="en-GB"/>
        </w:rPr>
        <w:t>Max Ownership - assumed 7.5%;</w:t>
      </w:r>
    </w:p>
    <w:p w14:paraId="63E7D427" w14:textId="77777777" w:rsidR="00C654DE" w:rsidRDefault="00C654DE" w:rsidP="00C654DE">
      <w:pPr>
        <w:ind w:left="708"/>
        <w:rPr>
          <w:lang w:val="en-GB"/>
        </w:rPr>
      </w:pPr>
      <w:r>
        <w:rPr>
          <w:lang w:val="en-GB"/>
        </w:rPr>
        <w:t>Participation (%) - assumed 100%;</w:t>
      </w:r>
    </w:p>
    <w:p w14:paraId="58B90EE2" w14:textId="5D977A08" w:rsidR="005C71E3" w:rsidRDefault="00C654DE" w:rsidP="00C654DE">
      <w:pPr>
        <w:ind w:left="708"/>
        <w:rPr>
          <w:lang w:val="en-GB"/>
        </w:rPr>
      </w:pPr>
      <w:r>
        <w:rPr>
          <w:lang w:val="en-GB"/>
        </w:rPr>
        <w:t>Tu</w:t>
      </w:r>
      <w:r w:rsidRPr="007C66F9">
        <w:rPr>
          <w:lang w:val="en-GB"/>
        </w:rPr>
        <w:t xml:space="preserve">rnover </w:t>
      </w:r>
      <w:r>
        <w:rPr>
          <w:lang w:val="en-GB"/>
        </w:rPr>
        <w:t>-</w:t>
      </w:r>
      <w:r w:rsidRPr="007C66F9">
        <w:rPr>
          <w:lang w:val="en-GB"/>
        </w:rPr>
        <w:t xml:space="preserve"> assumed 40%.</w:t>
      </w:r>
    </w:p>
    <w:p w14:paraId="17315F0C" w14:textId="77777777" w:rsidR="00C654DE" w:rsidRDefault="00C654DE" w:rsidP="00C654DE">
      <w:pPr>
        <w:ind w:left="708"/>
        <w:rPr>
          <w:lang w:val="en-GB"/>
        </w:rPr>
      </w:pPr>
    </w:p>
    <w:p w14:paraId="4E7CE20F" w14:textId="10F05FE8" w:rsidR="005C71E3" w:rsidRPr="00F906F5" w:rsidRDefault="005C71E3" w:rsidP="005C71E3">
      <w:pPr>
        <w:pStyle w:val="ListParagraph"/>
        <w:numPr>
          <w:ilvl w:val="0"/>
          <w:numId w:val="24"/>
        </w:numPr>
        <w:rPr>
          <w:lang w:val="en-GB"/>
        </w:rPr>
      </w:pPr>
      <w:r w:rsidRPr="00F906F5">
        <w:rPr>
          <w:lang w:val="en-GB"/>
        </w:rPr>
        <w:t xml:space="preserve">In respect of Index Components whose initial weight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 xml:space="preserve"> is greater than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xml:space="preserve">, the Target Index Weight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Pr="00F906F5">
        <w:rPr>
          <w:lang w:val="en-GB"/>
        </w:rPr>
        <w:t xml:space="preserve"> shall be set to be equal to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and the excess weight is then calculated as follows:</w:t>
      </w:r>
    </w:p>
    <w:p w14:paraId="27F93577" w14:textId="77777777" w:rsidR="005C71E3" w:rsidRDefault="00C654DE" w:rsidP="005C71E3">
      <w:pPr>
        <w:ind w:left="708"/>
      </w:pPr>
      <m:oMathPara>
        <m:oMath>
          <m:sSub>
            <m:sSubPr>
              <m:ctrlPr>
                <w:rPr>
                  <w:rFonts w:ascii="Cambria Math" w:hAnsi="Cambria Math"/>
                  <w:i/>
                </w:rPr>
              </m:ctrlPr>
            </m:sSubPr>
            <m:e>
              <m:r>
                <w:rPr>
                  <w:rFonts w:ascii="Cambria Math" w:hAnsi="Cambria Math"/>
                </w:rPr>
                <m:t>w</m:t>
              </m:r>
            </m:e>
            <m:sub>
              <m:r>
                <w:rPr>
                  <w:rFonts w:ascii="Cambria Math" w:hAnsi="Cambria Math"/>
                </w:rPr>
                <m:t>i,  excess</m:t>
              </m:r>
            </m:sub>
          </m:sSub>
          <m:r>
            <w:rPr>
              <w:rFonts w:ascii="Cambria Math" w:hAnsi="Cambria Math"/>
            </w:rPr>
            <m:t xml:space="preserve"> = </m:t>
          </m:r>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m:t>
              </m:r>
            </m:sup>
          </m:sSubSup>
          <m:r>
            <w:rPr>
              <w:rFonts w:ascii="Cambria Math" w:hAnsi="Cambria Math"/>
            </w:rPr>
            <m:t xml:space="preserve"> – </m:t>
          </m:r>
          <m:sSub>
            <m:sSubPr>
              <m:ctrlPr>
                <w:rPr>
                  <w:rFonts w:ascii="Cambria Math" w:hAnsi="Cambria Math"/>
                  <w:i/>
                </w:rPr>
              </m:ctrlPr>
            </m:sSubPr>
            <m:e>
              <m:r>
                <w:rPr>
                  <w:rFonts w:ascii="Cambria Math" w:hAnsi="Cambria Math"/>
                </w:rPr>
                <m:t>w</m:t>
              </m:r>
            </m:e>
            <m:sub>
              <m:r>
                <w:rPr>
                  <w:rFonts w:ascii="Cambria Math" w:hAnsi="Cambria Math"/>
                </w:rPr>
                <m:t>i, max</m:t>
              </m:r>
            </m:sub>
          </m:sSub>
        </m:oMath>
      </m:oMathPara>
    </w:p>
    <w:p w14:paraId="1E84CBCE" w14:textId="77777777" w:rsidR="005C71E3" w:rsidRPr="00F906F5" w:rsidRDefault="005C71E3" w:rsidP="005C71E3">
      <w:pPr>
        <w:ind w:left="708"/>
        <w:rPr>
          <w:lang w:val="en-GB"/>
        </w:rPr>
      </w:pPr>
      <w:r w:rsidRPr="00F906F5">
        <w:rPr>
          <w:lang w:val="en-GB"/>
        </w:rPr>
        <w:t xml:space="preserve">The cumulative excess weight is calculated as the sum of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excess</m:t>
            </m:r>
          </m:sub>
        </m:sSub>
      </m:oMath>
      <w:r w:rsidRPr="00F906F5">
        <w:rPr>
          <w:lang w:val="en-GB"/>
        </w:rPr>
        <w:t xml:space="preserve"> in respect of all </w:t>
      </w:r>
      <w:r>
        <w:rPr>
          <w:lang w:val="en-GB"/>
        </w:rPr>
        <w:t>I</w:t>
      </w:r>
      <w:r w:rsidRPr="00F906F5">
        <w:rPr>
          <w:lang w:val="en-GB"/>
        </w:rPr>
        <w:t xml:space="preserve">ndex </w:t>
      </w:r>
      <w:r>
        <w:rPr>
          <w:lang w:val="en-GB"/>
        </w:rPr>
        <w:t>C</w:t>
      </w:r>
      <w:r w:rsidRPr="00F906F5">
        <w:rPr>
          <w:lang w:val="en-GB"/>
        </w:rPr>
        <w:t xml:space="preserve">omponents whose initial weight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 xml:space="preserve"> is  greater than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xml:space="preserve">. </w:t>
      </w:r>
    </w:p>
    <w:p w14:paraId="678B72CD" w14:textId="77777777" w:rsidR="005C71E3" w:rsidRDefault="005C71E3" w:rsidP="005C71E3">
      <w:pPr>
        <w:rPr>
          <w:strike/>
          <w:lang w:val="en-US" w:eastAsia="en-US"/>
        </w:rPr>
      </w:pPr>
      <w:r w:rsidRPr="00F906F5">
        <w:rPr>
          <w:lang w:val="en-GB"/>
        </w:rPr>
        <w:lastRenderedPageBreak/>
        <w:t xml:space="preserve">The cumulative excess weight is then proportionally distributed across all Index Components whose initial weight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 xml:space="preserve">  is less than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xml:space="preserve"> such that the above </w:t>
      </w:r>
      <w:r>
        <w:rPr>
          <w:lang w:val="en-GB"/>
        </w:rPr>
        <w:t xml:space="preserve">maximum weight cap </w:t>
      </w:r>
      <w:r w:rsidRPr="00F906F5">
        <w:rPr>
          <w:lang w:val="en-GB"/>
        </w:rPr>
        <w:t>condition is fulfilled.</w:t>
      </w:r>
      <w:r>
        <w:rPr>
          <w:lang w:val="en-GB"/>
        </w:rPr>
        <w:t xml:space="preserve"> This can be an iterative process until 100% weight is fully allocated and all conditions above are fulfilled.</w:t>
      </w:r>
    </w:p>
    <w:p w14:paraId="3892FF36" w14:textId="77777777" w:rsidR="00D75769" w:rsidRPr="0076436B" w:rsidRDefault="00D75769" w:rsidP="00D75769">
      <w:pPr>
        <w:spacing w:before="0" w:after="160" w:line="259" w:lineRule="auto"/>
        <w:jc w:val="left"/>
        <w:rPr>
          <w:iCs/>
          <w:lang w:val="en-US"/>
        </w:rPr>
      </w:pPr>
      <w:r w:rsidRPr="0076436B">
        <w:rPr>
          <w:iCs/>
          <w:lang w:val="en-US"/>
        </w:rPr>
        <w:t>[...]</w:t>
      </w:r>
    </w:p>
    <w:p w14:paraId="16083C6D" w14:textId="77777777" w:rsidR="00E06731" w:rsidRDefault="00E06731" w:rsidP="002663E0">
      <w:pPr>
        <w:spacing w:before="0" w:after="160" w:line="259" w:lineRule="auto"/>
        <w:jc w:val="left"/>
        <w:rPr>
          <w:b/>
          <w:bCs/>
          <w:iCs/>
          <w:lang w:val="en-GB"/>
        </w:rPr>
      </w:pPr>
    </w:p>
    <w:p w14:paraId="5A6E53AE" w14:textId="22E8DB67" w:rsidR="007D62BC" w:rsidRPr="00C879F7" w:rsidRDefault="00540162" w:rsidP="002663E0">
      <w:pPr>
        <w:spacing w:before="0" w:after="160" w:line="259" w:lineRule="auto"/>
        <w:jc w:val="left"/>
        <w:rPr>
          <w:b/>
          <w:bCs/>
          <w:iCs/>
          <w:lang w:val="en-GB"/>
        </w:rPr>
      </w:pPr>
      <w:r w:rsidRPr="00C879F7">
        <w:rPr>
          <w:b/>
          <w:bCs/>
          <w:iCs/>
          <w:lang w:val="en-GB"/>
        </w:rPr>
        <w:t xml:space="preserve">Section </w:t>
      </w:r>
      <w:r w:rsidR="000A49F3">
        <w:rPr>
          <w:b/>
          <w:bCs/>
          <w:iCs/>
          <w:lang w:val="en-GB"/>
        </w:rPr>
        <w:t>4</w:t>
      </w:r>
      <w:r w:rsidRPr="00C879F7">
        <w:rPr>
          <w:b/>
          <w:bCs/>
          <w:iCs/>
          <w:lang w:val="en-GB"/>
        </w:rPr>
        <w:t>: Definitions</w:t>
      </w:r>
    </w:p>
    <w:p w14:paraId="1DE6C2BD" w14:textId="709C041F" w:rsidR="00540162" w:rsidRPr="0076436B" w:rsidRDefault="00290811" w:rsidP="002663E0">
      <w:pPr>
        <w:spacing w:before="0" w:after="160" w:line="259" w:lineRule="auto"/>
        <w:jc w:val="left"/>
        <w:rPr>
          <w:iCs/>
          <w:lang w:val="en-US"/>
        </w:rPr>
      </w:pPr>
      <w:r w:rsidRPr="0076436B">
        <w:rPr>
          <w:iCs/>
          <w:lang w:val="en-US"/>
        </w:rPr>
        <w:t xml:space="preserve">The following definition </w:t>
      </w:r>
      <w:r w:rsidR="005F1D66">
        <w:rPr>
          <w:iCs/>
          <w:lang w:val="en-DE"/>
        </w:rPr>
        <w:t xml:space="preserve">is proposed to be </w:t>
      </w:r>
      <w:r w:rsidRPr="0076436B">
        <w:rPr>
          <w:iCs/>
          <w:lang w:val="en-US"/>
        </w:rPr>
        <w:t xml:space="preserve">included. </w:t>
      </w:r>
    </w:p>
    <w:p w14:paraId="0C8FC939" w14:textId="77777777" w:rsidR="00540162" w:rsidRPr="00FD4408" w:rsidRDefault="00540162" w:rsidP="00C654DE">
      <w:pPr>
        <w:autoSpaceDE w:val="0"/>
        <w:autoSpaceDN w:val="0"/>
        <w:adjustRightInd w:val="0"/>
        <w:spacing w:after="240" w:line="276" w:lineRule="auto"/>
        <w:ind w:right="495"/>
        <w:rPr>
          <w:lang w:val="en-US"/>
        </w:rPr>
      </w:pPr>
      <w:r>
        <w:rPr>
          <w:lang w:val="en-US"/>
        </w:rPr>
        <w:t>“</w:t>
      </w:r>
      <w:r w:rsidRPr="00C654DE">
        <w:rPr>
          <w:b/>
          <w:bCs/>
          <w:iCs/>
          <w:lang w:val="en-US"/>
        </w:rPr>
        <w:t>Data Provider II</w:t>
      </w:r>
      <w:r>
        <w:rPr>
          <w:lang w:val="en-US"/>
        </w:rPr>
        <w:t xml:space="preserve">” is </w:t>
      </w:r>
      <w:proofErr w:type="spellStart"/>
      <w:r>
        <w:rPr>
          <w:lang w:val="en-US"/>
        </w:rPr>
        <w:t>Sustainalytics</w:t>
      </w:r>
      <w:proofErr w:type="spellEnd"/>
      <w:r>
        <w:rPr>
          <w:lang w:val="en-US"/>
        </w:rPr>
        <w:t>. For more information, please visit: www.sustainalytics.com.</w:t>
      </w:r>
    </w:p>
    <w:p w14:paraId="341E495F" w14:textId="77777777" w:rsidR="005F1D66" w:rsidRDefault="005F1D66" w:rsidP="005F1D66">
      <w:pPr>
        <w:spacing w:before="0" w:after="160" w:line="259" w:lineRule="auto"/>
        <w:jc w:val="left"/>
        <w:rPr>
          <w:iCs/>
          <w:lang w:val="en-US"/>
        </w:rPr>
      </w:pPr>
    </w:p>
    <w:p w14:paraId="68055BED" w14:textId="4DD91C1D" w:rsidR="005F1D66" w:rsidRPr="0076436B" w:rsidRDefault="005F1D66" w:rsidP="005F1D66">
      <w:pPr>
        <w:spacing w:before="0" w:after="160" w:line="259" w:lineRule="auto"/>
        <w:jc w:val="left"/>
        <w:rPr>
          <w:iCs/>
          <w:lang w:val="en-US"/>
        </w:rPr>
      </w:pPr>
      <w:r w:rsidRPr="0076436B">
        <w:rPr>
          <w:iCs/>
          <w:lang w:val="en-US"/>
        </w:rPr>
        <w:t xml:space="preserve">The </w:t>
      </w:r>
      <w:r>
        <w:rPr>
          <w:iCs/>
          <w:lang w:val="en-DE"/>
        </w:rPr>
        <w:t xml:space="preserve">Annex C and Annex D is proposed to be </w:t>
      </w:r>
      <w:r w:rsidRPr="0076436B">
        <w:rPr>
          <w:iCs/>
          <w:lang w:val="en-US"/>
        </w:rPr>
        <w:t xml:space="preserve">be </w:t>
      </w:r>
      <w:r w:rsidR="00693891" w:rsidRPr="0076436B">
        <w:rPr>
          <w:iCs/>
          <w:lang w:val="en-US"/>
        </w:rPr>
        <w:t>included</w:t>
      </w:r>
      <w:r>
        <w:rPr>
          <w:iCs/>
          <w:lang w:val="en-DE"/>
        </w:rPr>
        <w:t xml:space="preserve">. </w:t>
      </w:r>
    </w:p>
    <w:p w14:paraId="19F00316" w14:textId="5CFE616F" w:rsidR="00540162" w:rsidRPr="00C879F7" w:rsidRDefault="00540162" w:rsidP="002663E0">
      <w:pPr>
        <w:spacing w:before="0" w:after="160" w:line="259" w:lineRule="auto"/>
        <w:jc w:val="left"/>
        <w:rPr>
          <w:b/>
          <w:bCs/>
          <w:iCs/>
          <w:lang w:val="en-US"/>
        </w:rPr>
      </w:pPr>
      <w:r w:rsidRPr="00C879F7">
        <w:rPr>
          <w:b/>
          <w:bCs/>
          <w:iCs/>
          <w:lang w:val="en-US"/>
        </w:rPr>
        <w:t xml:space="preserve">Annex </w:t>
      </w:r>
      <w:r w:rsidR="000A49F3">
        <w:rPr>
          <w:b/>
          <w:bCs/>
          <w:iCs/>
          <w:lang w:val="en-US"/>
        </w:rPr>
        <w:t>C</w:t>
      </w:r>
    </w:p>
    <w:p w14:paraId="5079254C" w14:textId="2EA2121D" w:rsidR="00540162" w:rsidRDefault="00540162" w:rsidP="00540162">
      <w:pPr>
        <w:spacing w:before="0" w:after="160" w:line="259" w:lineRule="auto"/>
        <w:jc w:val="left"/>
        <w:rPr>
          <w:lang w:val="en-US"/>
        </w:rPr>
      </w:pPr>
      <w:r>
        <w:rPr>
          <w:lang w:val="en-US"/>
        </w:rPr>
        <w:t xml:space="preserve">As of </w:t>
      </w:r>
      <w:r w:rsidR="00290811">
        <w:rPr>
          <w:lang w:val="en-US"/>
        </w:rPr>
        <w:t>February 2022,</w:t>
      </w:r>
      <w:r>
        <w:rPr>
          <w:lang w:val="en-US"/>
        </w:rPr>
        <w:t xml:space="preserve"> the following inclusion criteria for the categories below were applicable.</w:t>
      </w:r>
    </w:p>
    <w:p w14:paraId="316FCF09" w14:textId="7B8A9C12" w:rsidR="00540162" w:rsidRDefault="00540162" w:rsidP="00540162">
      <w:pPr>
        <w:spacing w:before="0" w:after="160" w:line="259" w:lineRule="auto"/>
        <w:jc w:val="left"/>
        <w:rPr>
          <w:lang w:val="en-US"/>
        </w:rPr>
      </w:pPr>
      <w:r>
        <w:rPr>
          <w:lang w:val="en-US"/>
        </w:rPr>
        <w:t>Please refer to the most recent document available under the URL as specified in section ‘2.1. Index Universe Requirements’ above for the most recent applicable categories and inclusion criteria.</w:t>
      </w:r>
    </w:p>
    <w:tbl>
      <w:tblPr>
        <w:tblStyle w:val="TableGrid"/>
        <w:tblW w:w="8931" w:type="dxa"/>
        <w:tblBorders>
          <w:left w:val="none" w:sz="0" w:space="0" w:color="auto"/>
          <w:right w:val="none" w:sz="0" w:space="0" w:color="auto"/>
          <w:insideV w:val="none" w:sz="0" w:space="0" w:color="auto"/>
        </w:tblBorders>
        <w:tblLook w:val="04A0" w:firstRow="1" w:lastRow="0" w:firstColumn="1" w:lastColumn="0" w:noHBand="0" w:noVBand="1"/>
      </w:tblPr>
      <w:tblGrid>
        <w:gridCol w:w="4678"/>
        <w:gridCol w:w="4253"/>
      </w:tblGrid>
      <w:tr w:rsidR="00540162" w14:paraId="37E3A619" w14:textId="77777777" w:rsidTr="00C654DE">
        <w:trPr>
          <w:trHeight w:val="144"/>
        </w:trPr>
        <w:tc>
          <w:tcPr>
            <w:tcW w:w="4678" w:type="dxa"/>
          </w:tcPr>
          <w:p w14:paraId="29664F55" w14:textId="77777777" w:rsidR="00540162" w:rsidRPr="005445E9" w:rsidRDefault="00540162" w:rsidP="00447F16">
            <w:pPr>
              <w:spacing w:before="0" w:after="0"/>
              <w:jc w:val="left"/>
              <w:rPr>
                <w:b/>
                <w:bCs/>
                <w:lang w:val="en-US" w:eastAsia="en-US"/>
              </w:rPr>
            </w:pPr>
            <w:r>
              <w:rPr>
                <w:b/>
                <w:bCs/>
                <w:lang w:val="en-US" w:eastAsia="en-US"/>
              </w:rPr>
              <w:t>Categories</w:t>
            </w:r>
          </w:p>
        </w:tc>
        <w:tc>
          <w:tcPr>
            <w:tcW w:w="4253" w:type="dxa"/>
          </w:tcPr>
          <w:p w14:paraId="54FE3928" w14:textId="77777777" w:rsidR="00540162" w:rsidRPr="00C55C22" w:rsidRDefault="00540162" w:rsidP="00447F16">
            <w:pPr>
              <w:spacing w:before="0" w:after="0"/>
              <w:jc w:val="left"/>
              <w:rPr>
                <w:b/>
                <w:bCs/>
                <w:lang w:val="en-US" w:eastAsia="en-US"/>
              </w:rPr>
            </w:pPr>
            <w:r w:rsidRPr="00C55C22">
              <w:rPr>
                <w:b/>
                <w:bCs/>
                <w:lang w:val="en-US" w:eastAsia="en-US"/>
              </w:rPr>
              <w:t>Inclusion criterion</w:t>
            </w:r>
          </w:p>
        </w:tc>
      </w:tr>
      <w:tr w:rsidR="00540162" w:rsidRPr="00C654DE" w14:paraId="6DBD995E" w14:textId="77777777" w:rsidTr="00C654DE">
        <w:trPr>
          <w:trHeight w:val="144"/>
        </w:trPr>
        <w:tc>
          <w:tcPr>
            <w:tcW w:w="4678" w:type="dxa"/>
          </w:tcPr>
          <w:p w14:paraId="3367DC82" w14:textId="77777777" w:rsidR="00540162" w:rsidRPr="00C55C22" w:rsidRDefault="00540162" w:rsidP="00447F16">
            <w:pPr>
              <w:spacing w:before="0" w:after="0"/>
              <w:jc w:val="left"/>
              <w:rPr>
                <w:lang w:val="en-US" w:eastAsia="en-US"/>
              </w:rPr>
            </w:pPr>
            <w:r w:rsidRPr="00C55C22">
              <w:rPr>
                <w:lang w:val="en-US"/>
              </w:rPr>
              <w:t xml:space="preserve">Established norms around Environment, Human Rights, Corruption and </w:t>
            </w:r>
            <w:proofErr w:type="spellStart"/>
            <w:r w:rsidRPr="00C55C22">
              <w:rPr>
                <w:lang w:val="en-US"/>
              </w:rPr>
              <w:t>Labour</w:t>
            </w:r>
            <w:proofErr w:type="spellEnd"/>
            <w:r w:rsidRPr="00C55C22">
              <w:rPr>
                <w:lang w:val="en-US"/>
              </w:rPr>
              <w:t xml:space="preserve"> Rights</w:t>
            </w:r>
          </w:p>
        </w:tc>
        <w:tc>
          <w:tcPr>
            <w:tcW w:w="4253" w:type="dxa"/>
          </w:tcPr>
          <w:p w14:paraId="32832F62" w14:textId="77777777" w:rsidR="00540162" w:rsidRPr="00C55C22" w:rsidRDefault="00540162" w:rsidP="00447F16">
            <w:pPr>
              <w:spacing w:before="0" w:after="0"/>
              <w:jc w:val="left"/>
              <w:rPr>
                <w:lang w:val="en-US" w:eastAsia="en-US"/>
              </w:rPr>
            </w:pPr>
            <w:r w:rsidRPr="00C55C22">
              <w:rPr>
                <w:lang w:val="en-US"/>
              </w:rPr>
              <w:t>Non-Compliance with the UNGC</w:t>
            </w:r>
          </w:p>
        </w:tc>
      </w:tr>
      <w:tr w:rsidR="00540162" w14:paraId="5306995D" w14:textId="77777777" w:rsidTr="00C654DE">
        <w:trPr>
          <w:trHeight w:val="144"/>
        </w:trPr>
        <w:tc>
          <w:tcPr>
            <w:tcW w:w="4678" w:type="dxa"/>
          </w:tcPr>
          <w:p w14:paraId="1DB19207" w14:textId="77777777" w:rsidR="00540162" w:rsidRDefault="00540162" w:rsidP="00447F16">
            <w:pPr>
              <w:spacing w:before="0" w:after="0"/>
              <w:jc w:val="left"/>
              <w:rPr>
                <w:lang w:val="en-US" w:eastAsia="en-US"/>
              </w:rPr>
            </w:pPr>
            <w:r>
              <w:rPr>
                <w:lang w:val="en-US" w:eastAsia="en-US"/>
              </w:rPr>
              <w:t>Controversy</w:t>
            </w:r>
          </w:p>
        </w:tc>
        <w:tc>
          <w:tcPr>
            <w:tcW w:w="4253" w:type="dxa"/>
          </w:tcPr>
          <w:p w14:paraId="403BD928" w14:textId="77777777" w:rsidR="00540162" w:rsidRDefault="00540162" w:rsidP="00447F16">
            <w:pPr>
              <w:spacing w:before="0" w:after="0"/>
              <w:jc w:val="left"/>
              <w:rPr>
                <w:lang w:val="en-US" w:eastAsia="en-US"/>
              </w:rPr>
            </w:pPr>
            <w:r>
              <w:rPr>
                <w:lang w:val="en-US" w:eastAsia="en-US"/>
              </w:rPr>
              <w:t>Controversies with the Level 5</w:t>
            </w:r>
          </w:p>
        </w:tc>
      </w:tr>
      <w:tr w:rsidR="00540162" w:rsidRPr="00C654DE" w14:paraId="15763052" w14:textId="77777777" w:rsidTr="00C654DE">
        <w:trPr>
          <w:trHeight w:val="144"/>
        </w:trPr>
        <w:tc>
          <w:tcPr>
            <w:tcW w:w="4678" w:type="dxa"/>
          </w:tcPr>
          <w:p w14:paraId="3F3669B7" w14:textId="77777777" w:rsidR="00540162" w:rsidRDefault="00540162" w:rsidP="00447F16">
            <w:pPr>
              <w:spacing w:before="0" w:after="0"/>
              <w:jc w:val="left"/>
              <w:rPr>
                <w:lang w:val="en-US" w:eastAsia="en-US"/>
              </w:rPr>
            </w:pPr>
            <w:r>
              <w:rPr>
                <w:lang w:val="en-US" w:eastAsia="en-US"/>
              </w:rPr>
              <w:t>Tobacco</w:t>
            </w:r>
          </w:p>
        </w:tc>
        <w:tc>
          <w:tcPr>
            <w:tcW w:w="4253" w:type="dxa"/>
          </w:tcPr>
          <w:p w14:paraId="25825EA9" w14:textId="77777777" w:rsidR="00540162" w:rsidRDefault="00540162" w:rsidP="00447F16">
            <w:pPr>
              <w:spacing w:before="0" w:after="0"/>
              <w:jc w:val="left"/>
              <w:rPr>
                <w:lang w:val="en-US" w:eastAsia="en-US"/>
              </w:rPr>
            </w:pPr>
            <w:r>
              <w:rPr>
                <w:lang w:val="en-US" w:eastAsia="en-US"/>
              </w:rPr>
              <w:t>(5% Production &lt;OR&gt; 5% Retail &lt;OR&gt; 5% Related Products/Services)*</w:t>
            </w:r>
          </w:p>
        </w:tc>
      </w:tr>
      <w:tr w:rsidR="00540162" w:rsidRPr="00C654DE" w14:paraId="1C0DBD5C" w14:textId="77777777" w:rsidTr="00C654DE">
        <w:trPr>
          <w:trHeight w:val="144"/>
        </w:trPr>
        <w:tc>
          <w:tcPr>
            <w:tcW w:w="4678" w:type="dxa"/>
          </w:tcPr>
          <w:p w14:paraId="722872BB" w14:textId="77777777" w:rsidR="00540162" w:rsidRDefault="00540162" w:rsidP="00447F16">
            <w:pPr>
              <w:spacing w:before="0" w:after="0"/>
              <w:jc w:val="left"/>
              <w:rPr>
                <w:lang w:val="en-US" w:eastAsia="en-US"/>
              </w:rPr>
            </w:pPr>
            <w:r>
              <w:rPr>
                <w:lang w:val="en-US" w:eastAsia="en-US"/>
              </w:rPr>
              <w:t>Defense – Weapons</w:t>
            </w:r>
          </w:p>
        </w:tc>
        <w:tc>
          <w:tcPr>
            <w:tcW w:w="4253" w:type="dxa"/>
          </w:tcPr>
          <w:p w14:paraId="14C671F0" w14:textId="756CC6EA" w:rsidR="00540162" w:rsidRDefault="00540162" w:rsidP="00447F16">
            <w:pPr>
              <w:spacing w:before="0" w:after="0"/>
              <w:jc w:val="left"/>
              <w:rPr>
                <w:lang w:val="en-US" w:eastAsia="en-US"/>
              </w:rPr>
            </w:pPr>
            <w:r>
              <w:rPr>
                <w:lang w:val="en-US" w:eastAsia="en-US"/>
              </w:rPr>
              <w:t>(5% Military Contracting Weapons &lt;OR&gt; 5% Military Contracting Weapons – Related Products</w:t>
            </w:r>
            <w:r w:rsidR="005615D0">
              <w:rPr>
                <w:lang w:val="en-US" w:eastAsia="en-US"/>
              </w:rPr>
              <w:t>/Services</w:t>
            </w:r>
            <w:r>
              <w:rPr>
                <w:lang w:val="en-US" w:eastAsia="en-US"/>
              </w:rPr>
              <w:t>)*</w:t>
            </w:r>
          </w:p>
        </w:tc>
      </w:tr>
      <w:tr w:rsidR="00540162" w:rsidRPr="00C654DE" w14:paraId="6DB47154" w14:textId="77777777" w:rsidTr="00C654DE">
        <w:trPr>
          <w:trHeight w:val="144"/>
        </w:trPr>
        <w:tc>
          <w:tcPr>
            <w:tcW w:w="4678" w:type="dxa"/>
          </w:tcPr>
          <w:p w14:paraId="56263C9A" w14:textId="77777777" w:rsidR="00540162" w:rsidRDefault="00540162" w:rsidP="00447F16">
            <w:pPr>
              <w:spacing w:before="0" w:after="0"/>
              <w:jc w:val="left"/>
              <w:rPr>
                <w:lang w:val="en-US" w:eastAsia="en-US"/>
              </w:rPr>
            </w:pPr>
            <w:r>
              <w:rPr>
                <w:lang w:val="en-US" w:eastAsia="en-US"/>
              </w:rPr>
              <w:t>Defense – Controversial Weapons</w:t>
            </w:r>
          </w:p>
        </w:tc>
        <w:tc>
          <w:tcPr>
            <w:tcW w:w="4253" w:type="dxa"/>
          </w:tcPr>
          <w:p w14:paraId="13EFB30B" w14:textId="77777777" w:rsidR="00540162" w:rsidRDefault="00540162" w:rsidP="00447F16">
            <w:pPr>
              <w:spacing w:before="0" w:after="0"/>
              <w:jc w:val="left"/>
              <w:rPr>
                <w:lang w:val="en-US" w:eastAsia="en-US"/>
              </w:rPr>
            </w:pPr>
            <w:r>
              <w:rPr>
                <w:lang w:val="en-US" w:eastAsia="en-US"/>
              </w:rPr>
              <w:t>Any direct Involvement or any indirect Involvement through corporate ownership</w:t>
            </w:r>
          </w:p>
        </w:tc>
      </w:tr>
      <w:tr w:rsidR="00540162" w:rsidRPr="00C654DE" w14:paraId="7BE20374" w14:textId="77777777" w:rsidTr="00C654DE">
        <w:trPr>
          <w:trHeight w:val="144"/>
        </w:trPr>
        <w:tc>
          <w:tcPr>
            <w:tcW w:w="4678" w:type="dxa"/>
          </w:tcPr>
          <w:p w14:paraId="3E6C9688" w14:textId="77777777" w:rsidR="00540162" w:rsidRDefault="00540162" w:rsidP="00447F16">
            <w:pPr>
              <w:spacing w:before="0" w:after="0"/>
              <w:jc w:val="left"/>
              <w:rPr>
                <w:lang w:val="en-US" w:eastAsia="en-US"/>
              </w:rPr>
            </w:pPr>
            <w:r>
              <w:rPr>
                <w:lang w:val="en-US" w:eastAsia="en-US"/>
              </w:rPr>
              <w:t>Small Arms</w:t>
            </w:r>
          </w:p>
        </w:tc>
        <w:tc>
          <w:tcPr>
            <w:tcW w:w="4253" w:type="dxa"/>
          </w:tcPr>
          <w:p w14:paraId="66D7B25A" w14:textId="77777777" w:rsidR="00540162" w:rsidRDefault="00540162" w:rsidP="00447F16">
            <w:pPr>
              <w:spacing w:before="0" w:after="0"/>
              <w:jc w:val="left"/>
              <w:rPr>
                <w:lang w:val="en-US" w:eastAsia="en-US"/>
              </w:rPr>
            </w:pPr>
            <w:r>
              <w:rPr>
                <w:lang w:val="en-US" w:eastAsia="en-US"/>
              </w:rPr>
              <w:t>(5% Civilian customers (Assault and non-assault weapons) &lt;OR&gt; 5% Key Components &lt;OR&gt;  5% Military/law enforcement customers &lt;OR&gt;  5% Retail/Distribution)*</w:t>
            </w:r>
          </w:p>
        </w:tc>
      </w:tr>
      <w:tr w:rsidR="00540162" w:rsidRPr="00C654DE" w14:paraId="2F905E0E" w14:textId="77777777" w:rsidTr="00C654DE">
        <w:trPr>
          <w:trHeight w:val="144"/>
        </w:trPr>
        <w:tc>
          <w:tcPr>
            <w:tcW w:w="4678" w:type="dxa"/>
          </w:tcPr>
          <w:p w14:paraId="28AB7466" w14:textId="77777777" w:rsidR="00540162" w:rsidRDefault="00540162" w:rsidP="00447F16">
            <w:pPr>
              <w:spacing w:before="0" w:after="0"/>
              <w:jc w:val="left"/>
              <w:rPr>
                <w:lang w:val="en-US" w:eastAsia="en-US"/>
              </w:rPr>
            </w:pPr>
            <w:r>
              <w:rPr>
                <w:lang w:val="en-US" w:eastAsia="en-US"/>
              </w:rPr>
              <w:t>Coal</w:t>
            </w:r>
          </w:p>
        </w:tc>
        <w:tc>
          <w:tcPr>
            <w:tcW w:w="4253" w:type="dxa"/>
          </w:tcPr>
          <w:p w14:paraId="549D3F40" w14:textId="77777777" w:rsidR="00540162" w:rsidRDefault="00540162" w:rsidP="00447F16">
            <w:pPr>
              <w:spacing w:before="0" w:after="0"/>
              <w:jc w:val="left"/>
              <w:rPr>
                <w:lang w:val="en-US" w:eastAsia="en-US"/>
              </w:rPr>
            </w:pPr>
            <w:r>
              <w:rPr>
                <w:lang w:val="en-US" w:eastAsia="en-US"/>
              </w:rPr>
              <w:t>(5% Thermal Coal Extraction &lt;OR&gt; 5% Power Generation &lt;OR&gt; 5% Supporting Products/Services &lt;OR&gt; Power Generation Capacity Increase)*</w:t>
            </w:r>
          </w:p>
        </w:tc>
      </w:tr>
      <w:tr w:rsidR="00540162" w:rsidRPr="00C654DE" w14:paraId="1F4B8305" w14:textId="77777777" w:rsidTr="00C654DE">
        <w:trPr>
          <w:trHeight w:val="144"/>
        </w:trPr>
        <w:tc>
          <w:tcPr>
            <w:tcW w:w="4678" w:type="dxa"/>
          </w:tcPr>
          <w:p w14:paraId="507516D4" w14:textId="77777777" w:rsidR="00540162" w:rsidRDefault="00540162" w:rsidP="00447F16">
            <w:pPr>
              <w:spacing w:before="0" w:after="0"/>
              <w:jc w:val="left"/>
              <w:rPr>
                <w:lang w:val="en-US" w:eastAsia="en-US"/>
              </w:rPr>
            </w:pPr>
            <w:r>
              <w:rPr>
                <w:lang w:val="en-US" w:eastAsia="en-US"/>
              </w:rPr>
              <w:lastRenderedPageBreak/>
              <w:t>Conventional Oil &amp; Gas</w:t>
            </w:r>
          </w:p>
        </w:tc>
        <w:tc>
          <w:tcPr>
            <w:tcW w:w="4253" w:type="dxa"/>
          </w:tcPr>
          <w:p w14:paraId="36F99164" w14:textId="77777777" w:rsidR="00540162" w:rsidRDefault="00540162" w:rsidP="00447F16">
            <w:pPr>
              <w:spacing w:before="0" w:after="0"/>
              <w:jc w:val="left"/>
              <w:rPr>
                <w:lang w:val="en-US" w:eastAsia="en-US"/>
              </w:rPr>
            </w:pPr>
            <w:r>
              <w:rPr>
                <w:lang w:val="en-US" w:eastAsia="en-US"/>
              </w:rPr>
              <w:t>(5% Generation &lt;OR&gt; 5% Production &lt;OR&gt; 5% Supporting Products/Services &lt;OR&gt; Capacity Increase)</w:t>
            </w:r>
            <w:r w:rsidDel="00E45344">
              <w:rPr>
                <w:lang w:val="en-US" w:eastAsia="en-US"/>
              </w:rPr>
              <w:t xml:space="preserve"> </w:t>
            </w:r>
            <w:r>
              <w:rPr>
                <w:lang w:val="en-US" w:eastAsia="en-US"/>
              </w:rPr>
              <w:t>*</w:t>
            </w:r>
          </w:p>
        </w:tc>
      </w:tr>
      <w:tr w:rsidR="00540162" w:rsidRPr="00C654DE" w14:paraId="0AF8C30A" w14:textId="77777777" w:rsidTr="00C654DE">
        <w:trPr>
          <w:trHeight w:val="144"/>
        </w:trPr>
        <w:tc>
          <w:tcPr>
            <w:tcW w:w="4678" w:type="dxa"/>
          </w:tcPr>
          <w:p w14:paraId="2EEE1A8E" w14:textId="77777777" w:rsidR="00540162" w:rsidRDefault="00540162" w:rsidP="00447F16">
            <w:pPr>
              <w:spacing w:before="0" w:after="0"/>
              <w:jc w:val="left"/>
              <w:rPr>
                <w:lang w:val="en-US" w:eastAsia="en-US"/>
              </w:rPr>
            </w:pPr>
            <w:r>
              <w:rPr>
                <w:lang w:val="en-US" w:eastAsia="en-US"/>
              </w:rPr>
              <w:t>Unconventional Oil &amp; Gas</w:t>
            </w:r>
          </w:p>
        </w:tc>
        <w:tc>
          <w:tcPr>
            <w:tcW w:w="4253" w:type="dxa"/>
          </w:tcPr>
          <w:p w14:paraId="7F7D74DA" w14:textId="77777777" w:rsidR="00540162" w:rsidRDefault="00540162" w:rsidP="00447F16">
            <w:pPr>
              <w:spacing w:before="0" w:after="0"/>
              <w:jc w:val="left"/>
              <w:rPr>
                <w:lang w:val="en-US" w:eastAsia="en-US"/>
              </w:rPr>
            </w:pPr>
            <w:r>
              <w:rPr>
                <w:lang w:val="en-US" w:eastAsia="en-US"/>
              </w:rPr>
              <w:t>(5% Oil Sands Extraction &lt;OR&gt; 5% Artic Oil &amp; Gas Exploration/Extraction &lt;OR&gt; 5% Shale Energy Extraction &lt;OR&gt; Capacity Increase)*</w:t>
            </w:r>
          </w:p>
        </w:tc>
      </w:tr>
      <w:tr w:rsidR="00540162" w:rsidRPr="00C654DE" w14:paraId="64801AEA" w14:textId="77777777" w:rsidTr="00C654DE">
        <w:trPr>
          <w:trHeight w:val="144"/>
        </w:trPr>
        <w:tc>
          <w:tcPr>
            <w:tcW w:w="4678" w:type="dxa"/>
          </w:tcPr>
          <w:p w14:paraId="045F0338" w14:textId="77777777" w:rsidR="00540162" w:rsidRDefault="00540162" w:rsidP="00447F16">
            <w:pPr>
              <w:spacing w:before="0" w:after="0"/>
              <w:jc w:val="left"/>
              <w:rPr>
                <w:lang w:val="en-US" w:eastAsia="en-US"/>
              </w:rPr>
            </w:pPr>
            <w:r>
              <w:rPr>
                <w:lang w:val="en-US" w:eastAsia="en-US"/>
              </w:rPr>
              <w:t>Nuclear Power</w:t>
            </w:r>
          </w:p>
        </w:tc>
        <w:tc>
          <w:tcPr>
            <w:tcW w:w="4253" w:type="dxa"/>
          </w:tcPr>
          <w:p w14:paraId="4C0B31BE" w14:textId="77777777" w:rsidR="00540162" w:rsidRDefault="00540162" w:rsidP="00447F16">
            <w:pPr>
              <w:spacing w:before="0" w:after="0"/>
              <w:jc w:val="left"/>
              <w:rPr>
                <w:lang w:val="en-US" w:eastAsia="en-US"/>
              </w:rPr>
            </w:pPr>
            <w:r>
              <w:rPr>
                <w:lang w:val="en-US" w:eastAsia="en-US"/>
              </w:rPr>
              <w:t>(5% Production &lt;OR&gt; 5% Distribution &lt;OR&gt; 5% Supporting Products &lt;OR&gt; Capacity Increase)*</w:t>
            </w:r>
          </w:p>
        </w:tc>
      </w:tr>
      <w:tr w:rsidR="00540162" w:rsidRPr="00C654DE" w14:paraId="2B0CD589" w14:textId="77777777" w:rsidTr="00C654DE">
        <w:trPr>
          <w:trHeight w:val="144"/>
        </w:trPr>
        <w:tc>
          <w:tcPr>
            <w:tcW w:w="4678" w:type="dxa"/>
          </w:tcPr>
          <w:p w14:paraId="21957B7F" w14:textId="77777777" w:rsidR="00540162" w:rsidRDefault="00540162" w:rsidP="00447F16">
            <w:pPr>
              <w:spacing w:before="0" w:after="0"/>
              <w:jc w:val="left"/>
              <w:rPr>
                <w:lang w:val="en-US" w:eastAsia="en-US"/>
              </w:rPr>
            </w:pPr>
            <w:r>
              <w:rPr>
                <w:lang w:val="en-US" w:eastAsia="en-US"/>
              </w:rPr>
              <w:t>Alcohol</w:t>
            </w:r>
          </w:p>
        </w:tc>
        <w:tc>
          <w:tcPr>
            <w:tcW w:w="4253" w:type="dxa"/>
          </w:tcPr>
          <w:p w14:paraId="7EAF6D9B" w14:textId="77777777" w:rsidR="00540162" w:rsidRPr="00637A46" w:rsidRDefault="00540162" w:rsidP="00447F16">
            <w:pPr>
              <w:spacing w:before="0" w:after="0"/>
              <w:jc w:val="left"/>
              <w:rPr>
                <w:lang w:val="en-US"/>
              </w:rPr>
            </w:pPr>
            <w:r>
              <w:rPr>
                <w:lang w:val="en-US" w:eastAsia="en-US"/>
              </w:rPr>
              <w:t xml:space="preserve">(5% Production &lt;OR&gt; 5% Retail &lt;OR&gt; 5% </w:t>
            </w:r>
            <w:r w:rsidRPr="00637A46">
              <w:rPr>
                <w:lang w:val="en-US"/>
              </w:rPr>
              <w:t>R</w:t>
            </w:r>
            <w:r>
              <w:rPr>
                <w:lang w:val="en-US"/>
              </w:rPr>
              <w:t>elated Products/Services</w:t>
            </w:r>
            <w:r>
              <w:rPr>
                <w:lang w:val="en-US" w:eastAsia="en-US"/>
              </w:rPr>
              <w:t>)*</w:t>
            </w:r>
          </w:p>
        </w:tc>
      </w:tr>
      <w:tr w:rsidR="00540162" w:rsidRPr="00C654DE" w14:paraId="613DFE6A" w14:textId="77777777" w:rsidTr="00C654DE">
        <w:trPr>
          <w:trHeight w:val="144"/>
        </w:trPr>
        <w:tc>
          <w:tcPr>
            <w:tcW w:w="4678" w:type="dxa"/>
          </w:tcPr>
          <w:p w14:paraId="2668B6EC" w14:textId="77777777" w:rsidR="00540162" w:rsidRDefault="00540162" w:rsidP="00447F16">
            <w:pPr>
              <w:spacing w:before="0" w:after="0"/>
              <w:jc w:val="left"/>
              <w:rPr>
                <w:lang w:val="en-US" w:eastAsia="en-US"/>
              </w:rPr>
            </w:pPr>
            <w:r>
              <w:rPr>
                <w:lang w:val="en-US" w:eastAsia="en-US"/>
              </w:rPr>
              <w:t>Gambling</w:t>
            </w:r>
          </w:p>
        </w:tc>
        <w:tc>
          <w:tcPr>
            <w:tcW w:w="4253" w:type="dxa"/>
          </w:tcPr>
          <w:p w14:paraId="1A3E4085" w14:textId="77777777" w:rsidR="00540162" w:rsidRDefault="00540162" w:rsidP="00447F16">
            <w:pPr>
              <w:spacing w:before="0" w:after="0"/>
              <w:jc w:val="left"/>
              <w:rPr>
                <w:lang w:val="en-US" w:eastAsia="en-US"/>
              </w:rPr>
            </w:pPr>
            <w:r>
              <w:rPr>
                <w:lang w:val="en-US" w:eastAsia="en-US"/>
              </w:rPr>
              <w:t>(5% Operations &lt;OR&gt; 5% Specialized Equipment &lt;OR&gt; 5% Supporting Products/Services)*</w:t>
            </w:r>
          </w:p>
        </w:tc>
      </w:tr>
      <w:tr w:rsidR="00540162" w:rsidRPr="00E45344" w14:paraId="1EF9EA06" w14:textId="77777777" w:rsidTr="00C654DE">
        <w:trPr>
          <w:trHeight w:val="144"/>
        </w:trPr>
        <w:tc>
          <w:tcPr>
            <w:tcW w:w="4678" w:type="dxa"/>
          </w:tcPr>
          <w:p w14:paraId="22560905" w14:textId="77777777" w:rsidR="00540162" w:rsidRDefault="00540162" w:rsidP="00447F16">
            <w:pPr>
              <w:spacing w:before="0" w:after="0"/>
              <w:jc w:val="left"/>
              <w:rPr>
                <w:lang w:val="en-US" w:eastAsia="en-US"/>
              </w:rPr>
            </w:pPr>
            <w:r>
              <w:rPr>
                <w:lang w:val="en-US" w:eastAsia="en-US"/>
              </w:rPr>
              <w:t>Adult Entertainment</w:t>
            </w:r>
          </w:p>
        </w:tc>
        <w:tc>
          <w:tcPr>
            <w:tcW w:w="4253" w:type="dxa"/>
          </w:tcPr>
          <w:p w14:paraId="59A4B67E" w14:textId="77777777" w:rsidR="00540162" w:rsidRDefault="00540162" w:rsidP="00447F16">
            <w:pPr>
              <w:spacing w:before="0" w:after="0"/>
              <w:jc w:val="left"/>
              <w:rPr>
                <w:lang w:val="en-US" w:eastAsia="en-US"/>
              </w:rPr>
            </w:pPr>
            <w:r>
              <w:rPr>
                <w:lang w:val="en-US" w:eastAsia="en-US"/>
              </w:rPr>
              <w:t>(5% Production &lt;OR&gt; 5% Distribution)*</w:t>
            </w:r>
          </w:p>
        </w:tc>
      </w:tr>
      <w:tr w:rsidR="00540162" w:rsidRPr="00C654DE" w14:paraId="287F6872" w14:textId="77777777" w:rsidTr="00C654DE">
        <w:trPr>
          <w:trHeight w:val="144"/>
        </w:trPr>
        <w:tc>
          <w:tcPr>
            <w:tcW w:w="8931" w:type="dxa"/>
            <w:gridSpan w:val="2"/>
          </w:tcPr>
          <w:p w14:paraId="7493B162" w14:textId="77777777" w:rsidR="00540162" w:rsidRDefault="00540162" w:rsidP="00447F16">
            <w:pPr>
              <w:spacing w:before="0" w:after="0"/>
              <w:jc w:val="left"/>
              <w:rPr>
                <w:lang w:val="en-US" w:eastAsia="en-US"/>
              </w:rPr>
            </w:pPr>
            <w:r>
              <w:rPr>
                <w:lang w:val="en-US" w:eastAsia="en-US"/>
              </w:rPr>
              <w:t xml:space="preserve">Note: </w:t>
            </w:r>
          </w:p>
          <w:p w14:paraId="6108E832" w14:textId="77777777" w:rsidR="00540162" w:rsidRPr="00AB7D1E" w:rsidRDefault="00540162" w:rsidP="00540162">
            <w:pPr>
              <w:pStyle w:val="ListParagraph"/>
              <w:numPr>
                <w:ilvl w:val="0"/>
                <w:numId w:val="25"/>
              </w:numPr>
              <w:spacing w:before="0" w:after="0"/>
              <w:jc w:val="left"/>
              <w:rPr>
                <w:lang w:val="en-US" w:eastAsia="en-US"/>
              </w:rPr>
            </w:pPr>
            <w:r w:rsidRPr="00AB7D1E">
              <w:rPr>
                <w:lang w:val="en-US" w:eastAsia="en-US"/>
              </w:rPr>
              <w:t>% figures refer to revenue threshold (for degree of involvement). The criterion is fulfilled if involvement is equal to or above such threshold.</w:t>
            </w:r>
          </w:p>
          <w:p w14:paraId="2DC0C013" w14:textId="77777777" w:rsidR="00540162" w:rsidRPr="00AB7D1E" w:rsidRDefault="00540162" w:rsidP="00540162">
            <w:pPr>
              <w:pStyle w:val="ListParagraph"/>
              <w:numPr>
                <w:ilvl w:val="0"/>
                <w:numId w:val="25"/>
              </w:numPr>
              <w:spacing w:before="0" w:after="0"/>
              <w:jc w:val="left"/>
              <w:rPr>
                <w:lang w:val="en-US"/>
              </w:rPr>
            </w:pPr>
            <w:r w:rsidRPr="00AB7D1E">
              <w:rPr>
                <w:lang w:val="en-US"/>
              </w:rPr>
              <w:t xml:space="preserve">Capacity increase refers to any increase in capacity </w:t>
            </w:r>
            <w:r>
              <w:rPr>
                <w:lang w:val="en-US"/>
              </w:rPr>
              <w:t>from the immediately preceding Selection Day of the ESG Exclusions Enhanced Index</w:t>
            </w:r>
          </w:p>
          <w:p w14:paraId="569560AF" w14:textId="218D5D9B" w:rsidR="00540162" w:rsidRDefault="00540162" w:rsidP="00540162">
            <w:pPr>
              <w:pStyle w:val="ListParagraph"/>
              <w:numPr>
                <w:ilvl w:val="0"/>
                <w:numId w:val="25"/>
              </w:numPr>
              <w:spacing w:before="0" w:after="0"/>
              <w:jc w:val="left"/>
              <w:rPr>
                <w:lang w:val="en-US" w:eastAsia="en-US"/>
              </w:rPr>
            </w:pPr>
            <w:r>
              <w:rPr>
                <w:lang w:val="en-US" w:eastAsia="en-US"/>
              </w:rPr>
              <w:t xml:space="preserve">The terminology used in the table above is specific to the </w:t>
            </w:r>
            <w:r w:rsidR="003977FF" w:rsidRPr="00C654DE">
              <w:rPr>
                <w:lang w:val="en-US" w:eastAsia="en-US"/>
              </w:rPr>
              <w:t>Data Provider</w:t>
            </w:r>
            <w:r>
              <w:rPr>
                <w:smallCaps/>
                <w:lang w:val="en-US"/>
              </w:rPr>
              <w:t xml:space="preserve"> II</w:t>
            </w:r>
            <w:r>
              <w:rPr>
                <w:b/>
                <w:bCs/>
                <w:smallCaps/>
                <w:lang w:val="en-US" w:eastAsia="en-US"/>
              </w:rPr>
              <w:t xml:space="preserve"> </w:t>
            </w:r>
            <w:r>
              <w:rPr>
                <w:lang w:val="en-US" w:eastAsia="en-US"/>
              </w:rPr>
              <w:t>and may change from time to time.</w:t>
            </w:r>
          </w:p>
          <w:p w14:paraId="3BAAF3DD" w14:textId="77777777" w:rsidR="00540162" w:rsidRPr="00AB7D1E" w:rsidRDefault="00540162" w:rsidP="00447F16">
            <w:pPr>
              <w:spacing w:before="0" w:after="0"/>
              <w:jc w:val="left"/>
              <w:rPr>
                <w:lang w:val="en-US" w:eastAsia="en-US"/>
              </w:rPr>
            </w:pPr>
          </w:p>
          <w:p w14:paraId="285A3A68" w14:textId="474CBA9B" w:rsidR="00540162" w:rsidRDefault="00540162" w:rsidP="00C654DE">
            <w:pPr>
              <w:spacing w:before="0" w:after="0"/>
              <w:rPr>
                <w:lang w:val="en-US" w:eastAsia="en-US"/>
              </w:rPr>
            </w:pPr>
            <w:r>
              <w:rPr>
                <w:lang w:val="en-US" w:eastAsia="en-US"/>
              </w:rPr>
              <w:t>*</w:t>
            </w:r>
            <w:r w:rsidR="003977FF">
              <w:rPr>
                <w:lang w:val="en-US" w:eastAsia="en-US"/>
              </w:rPr>
              <w:t>This</w:t>
            </w:r>
            <w:r>
              <w:rPr>
                <w:lang w:val="en-US" w:eastAsia="en-US"/>
              </w:rPr>
              <w:t xml:space="preserve"> includes significant corporate ownership (were a company holds a stake greater than 50% in an involved company, the revenues of the involved company are attributed to the company).</w:t>
            </w:r>
          </w:p>
        </w:tc>
      </w:tr>
    </w:tbl>
    <w:p w14:paraId="58D9BA73" w14:textId="77777777" w:rsidR="00540162" w:rsidRDefault="00540162" w:rsidP="00540162">
      <w:pPr>
        <w:jc w:val="left"/>
        <w:rPr>
          <w:lang w:val="en-US"/>
        </w:rPr>
      </w:pPr>
    </w:p>
    <w:p w14:paraId="70720486" w14:textId="6558CFDD" w:rsidR="00540162" w:rsidRPr="00540162" w:rsidRDefault="00540162" w:rsidP="00C654DE">
      <w:pPr>
        <w:spacing w:before="0" w:after="160" w:line="259" w:lineRule="auto"/>
        <w:rPr>
          <w:i/>
          <w:lang w:val="en-US"/>
        </w:rPr>
      </w:pPr>
      <w:r w:rsidRPr="00CB7887">
        <w:rPr>
          <w:lang w:val="en-US" w:eastAsia="en-US"/>
        </w:rPr>
        <w:t xml:space="preserve">Any company which fulfills any of the criteria set out above shall be a component of the ESG Exclusions Enhanced Index. The primary listing for each company is selected as Index Component of the ESG Exclusions Enhanced Index. For the avoidance of doubt, any company for which an evaluation of the criteria is not possible due to the non-availability of relevant data from the </w:t>
      </w:r>
      <w:r w:rsidR="003977FF" w:rsidRPr="00E8750B">
        <w:rPr>
          <w:lang w:val="en-US" w:eastAsia="en-US"/>
        </w:rPr>
        <w:t>Data Provider</w:t>
      </w:r>
      <w:r w:rsidR="003977FF">
        <w:rPr>
          <w:smallCaps/>
          <w:lang w:val="en-US"/>
        </w:rPr>
        <w:t xml:space="preserve"> </w:t>
      </w:r>
      <w:r w:rsidRPr="00CF2A15">
        <w:rPr>
          <w:smallCaps/>
          <w:lang w:val="en-US" w:eastAsia="en-US"/>
        </w:rPr>
        <w:t>II</w:t>
      </w:r>
      <w:r w:rsidRPr="00CB7887">
        <w:rPr>
          <w:lang w:val="en-US" w:eastAsia="en-US"/>
        </w:rPr>
        <w:t>, shall be a component of the ESG Exclusions Enhanced Index.</w:t>
      </w:r>
    </w:p>
    <w:p w14:paraId="03B7E96E" w14:textId="39F6ACE0" w:rsidR="00540162" w:rsidRDefault="00540162" w:rsidP="002663E0">
      <w:pPr>
        <w:spacing w:before="0" w:after="160" w:line="259" w:lineRule="auto"/>
        <w:jc w:val="left"/>
        <w:rPr>
          <w:i/>
          <w:lang w:val="en-GB"/>
        </w:rPr>
      </w:pPr>
    </w:p>
    <w:p w14:paraId="4752EA5C" w14:textId="587B6E3A" w:rsidR="00540162" w:rsidRPr="00C879F7" w:rsidRDefault="00540162" w:rsidP="002663E0">
      <w:pPr>
        <w:spacing w:before="0" w:after="160" w:line="259" w:lineRule="auto"/>
        <w:jc w:val="left"/>
        <w:rPr>
          <w:b/>
          <w:bCs/>
          <w:iCs/>
          <w:lang w:val="en-GB"/>
        </w:rPr>
      </w:pPr>
      <w:r w:rsidRPr="00C879F7">
        <w:rPr>
          <w:b/>
          <w:bCs/>
          <w:iCs/>
          <w:lang w:val="en-GB"/>
        </w:rPr>
        <w:t xml:space="preserve">Annex </w:t>
      </w:r>
      <w:r w:rsidR="005615D0">
        <w:rPr>
          <w:b/>
          <w:bCs/>
          <w:iCs/>
          <w:lang w:val="en-GB"/>
        </w:rPr>
        <w:t>D</w:t>
      </w:r>
    </w:p>
    <w:p w14:paraId="4508253B" w14:textId="1B2B4F9E" w:rsidR="00B466F2" w:rsidRPr="00C654DE" w:rsidRDefault="00E06731" w:rsidP="00E06731">
      <w:pPr>
        <w:spacing w:before="0" w:after="160" w:line="259" w:lineRule="auto"/>
        <w:jc w:val="left"/>
        <w:rPr>
          <w:i/>
          <w:lang w:val="en-US"/>
        </w:rPr>
      </w:pPr>
      <w:r w:rsidRPr="00E06731">
        <w:rPr>
          <w:lang w:val="en-US"/>
        </w:rPr>
        <w:t xml:space="preserve">Name of the ETF used to determine the </w:t>
      </w:r>
      <w:proofErr w:type="spellStart"/>
      <w:r w:rsidRPr="00E06731">
        <w:rPr>
          <w:lang w:val="en-US"/>
        </w:rPr>
        <w:t>AuM</w:t>
      </w:r>
      <w:proofErr w:type="spellEnd"/>
      <w:r w:rsidRPr="00E06731">
        <w:rPr>
          <w:lang w:val="en-US"/>
        </w:rPr>
        <w:t xml:space="preserve">: </w:t>
      </w:r>
      <w:r w:rsidRPr="00C654DE">
        <w:rPr>
          <w:lang w:val="en-US"/>
        </w:rPr>
        <w:t>L&amp;G Ecommerce Logistics UCITS ETF, ISIN: IE00BF0M6N54</w:t>
      </w:r>
    </w:p>
    <w:p w14:paraId="2D4BF940" w14:textId="21F2CDF3" w:rsidR="005615D0" w:rsidRPr="00C654DE" w:rsidRDefault="005615D0" w:rsidP="002663E0">
      <w:pPr>
        <w:spacing w:before="0" w:after="160" w:line="259" w:lineRule="auto"/>
        <w:jc w:val="left"/>
        <w:rPr>
          <w:i/>
          <w:lang w:val="en-US"/>
        </w:rPr>
      </w:pPr>
    </w:p>
    <w:p w14:paraId="45154AF2" w14:textId="3B6F6786" w:rsidR="005055F5" w:rsidRPr="00F964E4" w:rsidRDefault="008C3EC8" w:rsidP="002663E0">
      <w:pPr>
        <w:spacing w:before="0" w:after="160" w:line="259" w:lineRule="auto"/>
        <w:jc w:val="left"/>
        <w:rPr>
          <w:lang w:val="en-GB"/>
        </w:rPr>
      </w:pPr>
      <w:r>
        <w:rPr>
          <w:sz w:val="28"/>
          <w:szCs w:val="28"/>
          <w:u w:val="single"/>
          <w:lang w:val="en-GB"/>
        </w:rPr>
        <w:t>F</w:t>
      </w:r>
      <w:r w:rsidR="00C04273">
        <w:rPr>
          <w:sz w:val="28"/>
          <w:szCs w:val="28"/>
          <w:u w:val="single"/>
          <w:lang w:val="en-GB"/>
        </w:rPr>
        <w:t>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lastRenderedPageBreak/>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1A62DDE3"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the</w:t>
      </w:r>
      <w:r w:rsidR="00C76458" w:rsidRPr="00C76458">
        <w:rPr>
          <w:lang w:val="en-US"/>
        </w:rPr>
        <w:t xml:space="preserve"> </w:t>
      </w:r>
      <w:r w:rsidR="00F00210" w:rsidRPr="00E06731">
        <w:rPr>
          <w:lang w:val="en-US"/>
        </w:rPr>
        <w:t>Solactive Ecommerce Logistics Index</w:t>
      </w:r>
      <w:r w:rsidR="00F00210"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C654DE"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71D6A31B"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C76458">
        <w:rPr>
          <w:lang w:val="en-US"/>
        </w:rPr>
        <w:t xml:space="preserve"> </w:t>
      </w:r>
      <w:r w:rsidR="007A0012">
        <w:rPr>
          <w:lang w:val="en-US"/>
        </w:rPr>
        <w:t>2</w:t>
      </w:r>
      <w:r w:rsidR="00B022A0">
        <w:rPr>
          <w:lang w:val="en-US"/>
        </w:rPr>
        <w:t>0</w:t>
      </w:r>
      <w:r w:rsidR="00B022A0" w:rsidRPr="00B022A0">
        <w:rPr>
          <w:vertAlign w:val="superscript"/>
          <w:lang w:val="en-US"/>
        </w:rPr>
        <w:t>th</w:t>
      </w:r>
      <w:r w:rsidR="00B466F2" w:rsidRPr="00C879F7">
        <w:rPr>
          <w:vertAlign w:val="superscript"/>
          <w:lang w:val="en-US"/>
        </w:rPr>
        <w:t xml:space="preserve"> </w:t>
      </w:r>
      <w:r w:rsidR="00B466F2">
        <w:rPr>
          <w:lang w:val="en-US"/>
        </w:rPr>
        <w:t>of</w:t>
      </w:r>
      <w:r w:rsidR="007A0012">
        <w:rPr>
          <w:lang w:val="en-US"/>
        </w:rPr>
        <w:t xml:space="preserve"> </w:t>
      </w:r>
      <w:r w:rsidR="00B022A0">
        <w:rPr>
          <w:lang w:val="en-US"/>
        </w:rPr>
        <w:t>April</w:t>
      </w:r>
      <w:r w:rsidR="007A0012">
        <w:rPr>
          <w:lang w:val="en-US"/>
        </w:rPr>
        <w:t xml:space="preserve"> 2022</w:t>
      </w:r>
      <w:r w:rsidR="0021086C" w:rsidRPr="0076436B">
        <w:rPr>
          <w:lang w:val="en-US"/>
        </w:rPr>
        <w:t xml:space="preserve"> (cob)</w:t>
      </w:r>
      <w:r w:rsidR="007A0012">
        <w:rPr>
          <w:lang w:val="en-US"/>
        </w:rPr>
        <w:t>.</w:t>
      </w:r>
    </w:p>
    <w:p w14:paraId="741A56A5" w14:textId="309AD26E" w:rsidR="00651886" w:rsidRPr="00C04273" w:rsidRDefault="00651886" w:rsidP="00651886">
      <w:pPr>
        <w:spacing w:before="0" w:after="0" w:line="360" w:lineRule="auto"/>
        <w:rPr>
          <w:lang w:val="en-US"/>
        </w:rPr>
      </w:pPr>
      <w:r w:rsidRPr="00FE1081">
        <w:rPr>
          <w:lang w:val="en-US"/>
        </w:rPr>
        <w:lastRenderedPageBreak/>
        <w:t xml:space="preserve">Subject to feedback received on this Market Consultation, the changes mentioned </w:t>
      </w:r>
      <w:r w:rsidRPr="0076436B">
        <w:rPr>
          <w:lang w:val="en-US"/>
        </w:rPr>
        <w:t xml:space="preserve">above are intended to </w:t>
      </w:r>
      <w:r w:rsidRPr="00FE1081">
        <w:rPr>
          <w:lang w:val="en-US"/>
        </w:rPr>
        <w:t>become effective on</w:t>
      </w:r>
      <w:r w:rsidR="00B466F2">
        <w:rPr>
          <w:lang w:val="en-US"/>
        </w:rPr>
        <w:t xml:space="preserve"> </w:t>
      </w:r>
      <w:r w:rsidR="00B022A0" w:rsidRPr="00C654DE">
        <w:rPr>
          <w:lang w:val="en-US"/>
        </w:rPr>
        <w:t>4th of May</w:t>
      </w:r>
      <w:r w:rsidR="007A0012" w:rsidRPr="00C654DE">
        <w:rPr>
          <w:lang w:val="en-US"/>
        </w:rPr>
        <w:t xml:space="preserve"> 2022</w:t>
      </w:r>
      <w:r w:rsidR="004819FA" w:rsidRPr="0076436B">
        <w:rPr>
          <w:lang w:val="en-US"/>
        </w:rPr>
        <w:t>.</w:t>
      </w:r>
    </w:p>
    <w:p w14:paraId="0D223365" w14:textId="77777777" w:rsidR="00651886" w:rsidRPr="00C04273" w:rsidRDefault="00651886" w:rsidP="005055F5">
      <w:pPr>
        <w:spacing w:before="0" w:after="0" w:line="360" w:lineRule="auto"/>
        <w:rPr>
          <w:lang w:val="en-US"/>
        </w:rPr>
      </w:pPr>
    </w:p>
    <w:p w14:paraId="04131284" w14:textId="1E6379C1"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2" w:history="1">
        <w:r w:rsidRPr="00C04273">
          <w:rPr>
            <w:rStyle w:val="Hyperlink"/>
            <w:rFonts w:eastAsiaTheme="majorEastAsia"/>
            <w:lang w:val="en-US"/>
          </w:rPr>
          <w:t>compliance@solactive.com</w:t>
        </w:r>
      </w:hyperlink>
      <w:r w:rsidRPr="00C04273">
        <w:rPr>
          <w:lang w:val="en-US"/>
        </w:rPr>
        <w:t>, specifying “Market Consultation</w:t>
      </w:r>
      <w:r w:rsidR="007A0012" w:rsidRPr="007A0012">
        <w:rPr>
          <w:lang w:val="en-US"/>
        </w:rPr>
        <w:t xml:space="preserve"> </w:t>
      </w:r>
      <w:r w:rsidR="00F00210" w:rsidRPr="00E06731">
        <w:rPr>
          <w:lang w:val="en-US"/>
        </w:rPr>
        <w:t>Solactive Ecommerce Logistics Index</w:t>
      </w:r>
      <w:r w:rsidR="00F00210" w:rsidRPr="00C04273">
        <w:rPr>
          <w:lang w:val="en-US"/>
        </w:rPr>
        <w:t xml:space="preserve"> </w:t>
      </w:r>
      <w:r w:rsidRPr="00C04273">
        <w:rPr>
          <w:lang w:val="en-US"/>
        </w:rPr>
        <w:t xml:space="preserve">as the subject of the email, or </w:t>
      </w:r>
    </w:p>
    <w:p w14:paraId="6AB9F564" w14:textId="77777777" w:rsidR="005055F5" w:rsidRPr="00F87086" w:rsidRDefault="005055F5" w:rsidP="005055F5">
      <w:pPr>
        <w:spacing w:after="0"/>
        <w:rPr>
          <w:lang w:val="it-IT"/>
        </w:rPr>
      </w:pPr>
      <w:r w:rsidRPr="00F87086">
        <w:rPr>
          <w:lang w:val="it-IT"/>
        </w:rPr>
        <w:t>via postal mail to:</w:t>
      </w:r>
      <w:r w:rsidRPr="00F87086">
        <w:rPr>
          <w:lang w:val="it-IT"/>
        </w:rPr>
        <w:tab/>
      </w:r>
      <w:r w:rsidRPr="00F87086">
        <w:rPr>
          <w:b/>
          <w:bCs/>
          <w:lang w:val="it-IT"/>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75D5BCBA"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C654DE"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4B37D26B" w:rsidR="005055F5" w:rsidRDefault="005055F5" w:rsidP="0063592D">
      <w:pPr>
        <w:rPr>
          <w:lang w:val="en-GB"/>
        </w:rPr>
      </w:pPr>
    </w:p>
    <w:p w14:paraId="560A9510" w14:textId="23B634EA" w:rsidR="005055F5" w:rsidRDefault="00B022A0"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543B85FC">
                <wp:simplePos x="0" y="0"/>
                <wp:positionH relativeFrom="page">
                  <wp:posOffset>-25400</wp:posOffset>
                </wp:positionH>
                <wp:positionV relativeFrom="page">
                  <wp:posOffset>4845050</wp:posOffset>
                </wp:positionV>
                <wp:extent cx="7585710" cy="5850255"/>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710" cy="5850255"/>
                          <a:chOff x="0" y="1531295"/>
                          <a:chExt cx="7639965" cy="6519428"/>
                        </a:xfrm>
                      </wpg:grpSpPr>
                      <wps:wsp>
                        <wps:cNvPr id="3" name="Freihandform 11"/>
                        <wps:cNvSpPr/>
                        <wps:spPr>
                          <a:xfrm>
                            <a:off x="0" y="1531295"/>
                            <a:ext cx="7631430" cy="2485703"/>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2pt;margin-top:381.5pt;width:597.3pt;height:460.65pt;z-index:-251661315;mso-position-horizontal-relative:page;mso-position-vertical-relative:page;mso-width-relative:margin;mso-height-relative:margin" coordorigin=",15312" coordsize="76399,6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">
                <v:shape id="Freihandform 11" o:spid="_x0000_s1029" style="position:absolute;top:15312;width:76314;height:24857;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693355;790782,910324;1650661,849007;3040288,948058;4568110,358470;5973091,825423;6779228,929191;7623753,0;7631430,2485703;0,2485703;15355,693355"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04AE59F4"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37A616F4"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1D2258E"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C654DE">
                              <w:rPr>
                                <w:color w:val="FFFFFF" w:themeColor="background1"/>
                                <w:lang w:val="en-US" w:eastAsia="en-US"/>
                              </w:rPr>
                              <w:t>info@solactive.com</w:t>
                            </w:r>
                            <w:r w:rsidRPr="00186DB0">
                              <w:rPr>
                                <w:color w:val="FFFFFF" w:themeColor="background1"/>
                                <w:lang w:val="en-US" w:eastAsia="en-US"/>
                              </w:rPr>
                              <w:t xml:space="preserve"> </w:t>
                            </w:r>
                          </w:p>
                          <w:p w14:paraId="6B537AAB" w14:textId="77777777" w:rsidR="00466905" w:rsidRPr="00F87086" w:rsidRDefault="00466905" w:rsidP="00EE22E3">
                            <w:pPr>
                              <w:tabs>
                                <w:tab w:val="left" w:pos="993"/>
                              </w:tabs>
                              <w:contextualSpacing/>
                              <w:rPr>
                                <w:color w:val="FFFFFF" w:themeColor="background1"/>
                                <w:lang w:val="fr-FR" w:eastAsia="en-US"/>
                              </w:rPr>
                            </w:pPr>
                            <w:proofErr w:type="spellStart"/>
                            <w:r w:rsidRPr="00F87086">
                              <w:rPr>
                                <w:color w:val="FFFFFF" w:themeColor="background1"/>
                                <w:lang w:val="fr-FR" w:eastAsia="en-US"/>
                              </w:rPr>
                              <w:t>Website</w:t>
                            </w:r>
                            <w:proofErr w:type="spellEnd"/>
                            <w:r w:rsidRPr="00F87086">
                              <w:rPr>
                                <w:color w:val="FFFFFF" w:themeColor="background1"/>
                                <w:lang w:val="fr-FR" w:eastAsia="en-US"/>
                              </w:rPr>
                              <w:t>:</w:t>
                            </w:r>
                            <w:r w:rsidRPr="00F87086">
                              <w:rPr>
                                <w:color w:val="FFFFFF" w:themeColor="background1"/>
                                <w:lang w:val="fr-FR" w:eastAsia="en-US"/>
                              </w:rPr>
                              <w:tab/>
                            </w:r>
                            <w:hyperlink r:id="rId13" w:history="1">
                              <w:r w:rsidRPr="00F87086">
                                <w:rPr>
                                  <w:rStyle w:val="Hyperlink"/>
                                  <w:color w:val="FFFFFF" w:themeColor="background1"/>
                                  <w:lang w:val="fr-FR" w:eastAsia="en-US"/>
                                </w:rPr>
                                <w:t>www.solactive.com</w:t>
                              </w:r>
                            </w:hyperlink>
                            <w:r w:rsidRPr="00F87086">
                              <w:rPr>
                                <w:color w:val="FFFFFF" w:themeColor="background1"/>
                                <w:lang w:val="fr-FR" w:eastAsia="en-US"/>
                              </w:rPr>
                              <w:t xml:space="preserve"> </w:t>
                            </w:r>
                          </w:p>
                          <w:p w14:paraId="7C95E775" w14:textId="77777777" w:rsidR="00466905" w:rsidRPr="00F87086" w:rsidRDefault="00466905" w:rsidP="00EE22E3">
                            <w:pPr>
                              <w:tabs>
                                <w:tab w:val="left" w:pos="993"/>
                              </w:tabs>
                              <w:contextualSpacing/>
                              <w:rPr>
                                <w:color w:val="FFFFFF" w:themeColor="background1"/>
                                <w:lang w:val="fr-FR"/>
                              </w:rPr>
                            </w:pPr>
                          </w:p>
                          <w:p w14:paraId="1DDD5EBB" w14:textId="77777777" w:rsidR="00466905" w:rsidRPr="00F87086" w:rsidRDefault="00466905" w:rsidP="00EE22E3">
                            <w:pPr>
                              <w:tabs>
                                <w:tab w:val="left" w:pos="993"/>
                              </w:tabs>
                              <w:contextualSpacing/>
                              <w:rPr>
                                <w:color w:val="FFFFFF" w:themeColor="background1"/>
                                <w:lang w:val="fr-FR"/>
                              </w:rPr>
                            </w:pPr>
                            <w:r w:rsidRPr="00F87086">
                              <w:rPr>
                                <w:color w:val="FFFFFF" w:themeColor="background1"/>
                                <w:lang w:val="fr-FR"/>
                              </w:rPr>
                              <w:t>© Solactive AG</w:t>
                            </w:r>
                          </w:p>
                          <w:p w14:paraId="5087DCB6" w14:textId="77777777" w:rsidR="00466905" w:rsidRPr="00F87086"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1D2258E"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C654DE">
                        <w:rPr>
                          <w:color w:val="FFFFFF" w:themeColor="background1"/>
                          <w:lang w:val="en-US" w:eastAsia="en-US"/>
                        </w:rPr>
                        <w:t>info@solactive.com</w:t>
                      </w:r>
                      <w:r w:rsidRPr="00186DB0">
                        <w:rPr>
                          <w:color w:val="FFFFFF" w:themeColor="background1"/>
                          <w:lang w:val="en-US" w:eastAsia="en-US"/>
                        </w:rPr>
                        <w:t xml:space="preserve"> </w:t>
                      </w:r>
                    </w:p>
                    <w:p w14:paraId="6B537AAB" w14:textId="77777777" w:rsidR="00466905" w:rsidRPr="00F87086" w:rsidRDefault="00466905" w:rsidP="00EE22E3">
                      <w:pPr>
                        <w:tabs>
                          <w:tab w:val="left" w:pos="993"/>
                        </w:tabs>
                        <w:contextualSpacing/>
                        <w:rPr>
                          <w:color w:val="FFFFFF" w:themeColor="background1"/>
                          <w:lang w:val="fr-FR" w:eastAsia="en-US"/>
                        </w:rPr>
                      </w:pPr>
                      <w:proofErr w:type="spellStart"/>
                      <w:r w:rsidRPr="00F87086">
                        <w:rPr>
                          <w:color w:val="FFFFFF" w:themeColor="background1"/>
                          <w:lang w:val="fr-FR" w:eastAsia="en-US"/>
                        </w:rPr>
                        <w:t>Website</w:t>
                      </w:r>
                      <w:proofErr w:type="spellEnd"/>
                      <w:r w:rsidRPr="00F87086">
                        <w:rPr>
                          <w:color w:val="FFFFFF" w:themeColor="background1"/>
                          <w:lang w:val="fr-FR" w:eastAsia="en-US"/>
                        </w:rPr>
                        <w:t>:</w:t>
                      </w:r>
                      <w:r w:rsidRPr="00F87086">
                        <w:rPr>
                          <w:color w:val="FFFFFF" w:themeColor="background1"/>
                          <w:lang w:val="fr-FR" w:eastAsia="en-US"/>
                        </w:rPr>
                        <w:tab/>
                      </w:r>
                      <w:hyperlink r:id="rId14" w:history="1">
                        <w:r w:rsidRPr="00F87086">
                          <w:rPr>
                            <w:rStyle w:val="Hyperlink"/>
                            <w:color w:val="FFFFFF" w:themeColor="background1"/>
                            <w:lang w:val="fr-FR" w:eastAsia="en-US"/>
                          </w:rPr>
                          <w:t>www.solactive.com</w:t>
                        </w:r>
                      </w:hyperlink>
                      <w:r w:rsidRPr="00F87086">
                        <w:rPr>
                          <w:color w:val="FFFFFF" w:themeColor="background1"/>
                          <w:lang w:val="fr-FR" w:eastAsia="en-US"/>
                        </w:rPr>
                        <w:t xml:space="preserve"> </w:t>
                      </w:r>
                    </w:p>
                    <w:p w14:paraId="7C95E775" w14:textId="77777777" w:rsidR="00466905" w:rsidRPr="00F87086" w:rsidRDefault="00466905" w:rsidP="00EE22E3">
                      <w:pPr>
                        <w:tabs>
                          <w:tab w:val="left" w:pos="993"/>
                        </w:tabs>
                        <w:contextualSpacing/>
                        <w:rPr>
                          <w:color w:val="FFFFFF" w:themeColor="background1"/>
                          <w:lang w:val="fr-FR"/>
                        </w:rPr>
                      </w:pPr>
                    </w:p>
                    <w:p w14:paraId="1DDD5EBB" w14:textId="77777777" w:rsidR="00466905" w:rsidRPr="00F87086" w:rsidRDefault="00466905" w:rsidP="00EE22E3">
                      <w:pPr>
                        <w:tabs>
                          <w:tab w:val="left" w:pos="993"/>
                        </w:tabs>
                        <w:contextualSpacing/>
                        <w:rPr>
                          <w:color w:val="FFFFFF" w:themeColor="background1"/>
                          <w:lang w:val="fr-FR"/>
                        </w:rPr>
                      </w:pPr>
                      <w:r w:rsidRPr="00F87086">
                        <w:rPr>
                          <w:color w:val="FFFFFF" w:themeColor="background1"/>
                          <w:lang w:val="fr-FR"/>
                        </w:rPr>
                        <w:t>© Solactive AG</w:t>
                      </w:r>
                    </w:p>
                    <w:p w14:paraId="5087DCB6" w14:textId="77777777" w:rsidR="00466905" w:rsidRPr="00F87086"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5"/>
      <w:headerReference w:type="default" r:id="rId16"/>
      <w:footerReference w:type="even" r:id="rId17"/>
      <w:footerReference w:type="default" r:id="rId18"/>
      <w:headerReference w:type="first" r:id="rId19"/>
      <w:footerReference w:type="first" r:id="rId20"/>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66E57" w14:textId="77777777" w:rsidR="006140FF" w:rsidRDefault="006140FF" w:rsidP="002E70FC">
      <w:pPr>
        <w:spacing w:before="0" w:after="0"/>
      </w:pPr>
      <w:r>
        <w:separator/>
      </w:r>
    </w:p>
  </w:endnote>
  <w:endnote w:type="continuationSeparator" w:id="0">
    <w:p w14:paraId="4D7F8C61" w14:textId="77777777" w:rsidR="006140FF" w:rsidRDefault="006140FF"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E25BADF-5C29-412F-9BA4-874170781F97}"/>
    <w:embedBold r:id="rId2" w:fontKey="{C494FF0F-E97B-41D9-9972-DC560029AF2B}"/>
  </w:font>
  <w:font w:name="Flama Semicondensed Light">
    <w:panose1 w:val="02000000000000000000"/>
    <w:charset w:val="00"/>
    <w:family w:val="auto"/>
    <w:pitch w:val="variable"/>
    <w:sig w:usb0="A00000AF" w:usb1="4000207B" w:usb2="00000000" w:usb3="00000000" w:csb0="0000008B" w:csb1="00000000"/>
    <w:embedRegular r:id="rId3" w:fontKey="{905F7C7E-0E14-4E05-A8F0-69704DA32757}"/>
    <w:embedBold r:id="rId4" w:fontKey="{02962A00-C994-4648-924F-ECCFC6805677}"/>
    <w:embedItalic r:id="rId5" w:fontKey="{E3F66D41-8F95-4DAE-BB5F-9678C1EC2CE6}"/>
  </w:font>
  <w:font w:name="Segoe UI">
    <w:panose1 w:val="020B0502040204020203"/>
    <w:charset w:val="00"/>
    <w:family w:val="swiss"/>
    <w:pitch w:val="variable"/>
    <w:sig w:usb0="E4002EFF" w:usb1="C000E47F" w:usb2="00000009" w:usb3="00000000" w:csb0="000001FF" w:csb1="00000000"/>
    <w:embedRegular r:id="rId6" w:fontKey="{0502C62D-5380-4547-94B2-5C147EC73D60}"/>
  </w:font>
  <w:font w:name="Flama Semicondensed Medium">
    <w:panose1 w:val="02000000000000000000"/>
    <w:charset w:val="00"/>
    <w:family w:val="auto"/>
    <w:pitch w:val="variable"/>
    <w:sig w:usb0="A00000AF" w:usb1="4000207B" w:usb2="00000000" w:usb3="00000000" w:csb0="0000008B" w:csb1="00000000"/>
    <w:embedRegular r:id="rId7" w:fontKey="{F74CE61B-EB6A-4C9B-8921-DFAE966E5A93}"/>
    <w:embedBold r:id="rId8" w:fontKey="{7A91A61E-1158-4B3A-82F8-F2499173ECCD}"/>
  </w:font>
  <w:font w:name="Cambria Math">
    <w:panose1 w:val="02040503050406030204"/>
    <w:charset w:val="00"/>
    <w:family w:val="roman"/>
    <w:pitch w:val="variable"/>
    <w:sig w:usb0="E00006FF" w:usb1="420024FF" w:usb2="02000000" w:usb3="00000000" w:csb0="0000019F" w:csb1="00000000"/>
    <w:embedItalic r:id="rId9" w:fontKey="{6E78899E-7A45-4C58-BCE9-EE7196A9CE44}"/>
  </w:font>
  <w:font w:name="Calibri Light">
    <w:panose1 w:val="020F0302020204030204"/>
    <w:charset w:val="00"/>
    <w:family w:val="swiss"/>
    <w:pitch w:val="variable"/>
    <w:sig w:usb0="E4002EFF" w:usb1="C000247B" w:usb2="00000009" w:usb3="00000000" w:csb0="000001FF" w:csb1="00000000"/>
    <w:embedRegular r:id="rId10" w:fontKey="{976C0EC6-0095-4976-8B9F-63DD615D51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4D43F" w14:textId="77777777" w:rsidR="006140FF" w:rsidRDefault="006140FF" w:rsidP="002E70FC">
      <w:pPr>
        <w:spacing w:before="0" w:after="0"/>
      </w:pPr>
      <w:r>
        <w:separator/>
      </w:r>
    </w:p>
  </w:footnote>
  <w:footnote w:type="continuationSeparator" w:id="0">
    <w:p w14:paraId="3A3A4BA4" w14:textId="77777777" w:rsidR="006140FF" w:rsidRDefault="006140FF"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181B5C65"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BA2B2E">
          <w:rPr>
            <w:lang w:val="en-US"/>
          </w:rPr>
          <w:t>Market Consultation- Solactive eCommerce Logistics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2713762"/>
    <w:multiLevelType w:val="hybridMultilevel"/>
    <w:tmpl w:val="E40E6A46"/>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22E6AFB"/>
    <w:multiLevelType w:val="hybridMultilevel"/>
    <w:tmpl w:val="244AAB6E"/>
    <w:lvl w:ilvl="0" w:tplc="20000013">
      <w:start w:val="1"/>
      <w:numFmt w:val="upperRoman"/>
      <w:lvlText w:val="%1."/>
      <w:lvlJc w:val="right"/>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2F35AB"/>
    <w:multiLevelType w:val="hybridMultilevel"/>
    <w:tmpl w:val="D3C0FD2C"/>
    <w:lvl w:ilvl="0" w:tplc="0407001B">
      <w:start w:val="1"/>
      <w:numFmt w:val="lowerRoman"/>
      <w:lvlText w:val="%1."/>
      <w:lvlJc w:val="righ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8A212BE"/>
    <w:multiLevelType w:val="hybridMultilevel"/>
    <w:tmpl w:val="4F6409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8E375F"/>
    <w:multiLevelType w:val="hybridMultilevel"/>
    <w:tmpl w:val="CD3AE3DE"/>
    <w:lvl w:ilvl="0" w:tplc="E924D124">
      <w:start w:val="1"/>
      <w:numFmt w:val="upperRoman"/>
      <w:lvlText w:val="%1."/>
      <w:lvlJc w:val="left"/>
      <w:pPr>
        <w:ind w:left="1440" w:hanging="7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20"/>
  </w:num>
  <w:num w:numId="4">
    <w:abstractNumId w:val="25"/>
  </w:num>
  <w:num w:numId="5">
    <w:abstractNumId w:val="18"/>
  </w:num>
  <w:num w:numId="6">
    <w:abstractNumId w:val="10"/>
  </w:num>
  <w:num w:numId="7">
    <w:abstractNumId w:val="24"/>
  </w:num>
  <w:num w:numId="8">
    <w:abstractNumId w:val="3"/>
  </w:num>
  <w:num w:numId="9">
    <w:abstractNumId w:val="15"/>
  </w:num>
  <w:num w:numId="10">
    <w:abstractNumId w:val="14"/>
  </w:num>
  <w:num w:numId="11">
    <w:abstractNumId w:val="2"/>
  </w:num>
  <w:num w:numId="12">
    <w:abstractNumId w:val="1"/>
  </w:num>
  <w:num w:numId="13">
    <w:abstractNumId w:val="16"/>
  </w:num>
  <w:num w:numId="14">
    <w:abstractNumId w:val="12"/>
  </w:num>
  <w:num w:numId="15">
    <w:abstractNumId w:val="5"/>
  </w:num>
  <w:num w:numId="16">
    <w:abstractNumId w:val="13"/>
  </w:num>
  <w:num w:numId="17">
    <w:abstractNumId w:val="26"/>
  </w:num>
  <w:num w:numId="18">
    <w:abstractNumId w:val="11"/>
  </w:num>
  <w:num w:numId="19">
    <w:abstractNumId w:val="22"/>
  </w:num>
  <w:num w:numId="20">
    <w:abstractNumId w:val="23"/>
  </w:num>
  <w:num w:numId="21">
    <w:abstractNumId w:val="0"/>
  </w:num>
  <w:num w:numId="22">
    <w:abstractNumId w:val="4"/>
  </w:num>
  <w:num w:numId="23">
    <w:abstractNumId w:val="21"/>
  </w:num>
  <w:num w:numId="24">
    <w:abstractNumId w:val="7"/>
  </w:num>
  <w:num w:numId="25">
    <w:abstractNumId w:val="17"/>
  </w:num>
  <w:num w:numId="26">
    <w:abstractNumId w:val="19"/>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11265">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4963"/>
    <w:rsid w:val="00077C61"/>
    <w:rsid w:val="00080F81"/>
    <w:rsid w:val="000849B9"/>
    <w:rsid w:val="000852F2"/>
    <w:rsid w:val="00085BB3"/>
    <w:rsid w:val="00087194"/>
    <w:rsid w:val="00087BAF"/>
    <w:rsid w:val="000916F7"/>
    <w:rsid w:val="00092BB7"/>
    <w:rsid w:val="000A128C"/>
    <w:rsid w:val="000A49F3"/>
    <w:rsid w:val="000A7946"/>
    <w:rsid w:val="000B461C"/>
    <w:rsid w:val="000C0EBA"/>
    <w:rsid w:val="000C5F8E"/>
    <w:rsid w:val="000D0FF1"/>
    <w:rsid w:val="000E3D03"/>
    <w:rsid w:val="000F3DF3"/>
    <w:rsid w:val="0010358C"/>
    <w:rsid w:val="00110CA0"/>
    <w:rsid w:val="00112BC2"/>
    <w:rsid w:val="00113086"/>
    <w:rsid w:val="00123CB9"/>
    <w:rsid w:val="00124B71"/>
    <w:rsid w:val="00131DFF"/>
    <w:rsid w:val="00133435"/>
    <w:rsid w:val="00135E34"/>
    <w:rsid w:val="00151DD8"/>
    <w:rsid w:val="00185395"/>
    <w:rsid w:val="001913FD"/>
    <w:rsid w:val="00192032"/>
    <w:rsid w:val="0019287D"/>
    <w:rsid w:val="00196409"/>
    <w:rsid w:val="00196791"/>
    <w:rsid w:val="001C7018"/>
    <w:rsid w:val="001D0ECC"/>
    <w:rsid w:val="001D6895"/>
    <w:rsid w:val="001D69BE"/>
    <w:rsid w:val="001E7A70"/>
    <w:rsid w:val="001F1AAE"/>
    <w:rsid w:val="001F7F10"/>
    <w:rsid w:val="0021086C"/>
    <w:rsid w:val="002127D7"/>
    <w:rsid w:val="00216B32"/>
    <w:rsid w:val="00226816"/>
    <w:rsid w:val="00233B75"/>
    <w:rsid w:val="002370C6"/>
    <w:rsid w:val="00252BDE"/>
    <w:rsid w:val="00252DAF"/>
    <w:rsid w:val="0026500B"/>
    <w:rsid w:val="00265B34"/>
    <w:rsid w:val="002663E0"/>
    <w:rsid w:val="00277D7B"/>
    <w:rsid w:val="00280D5D"/>
    <w:rsid w:val="0028575D"/>
    <w:rsid w:val="00290811"/>
    <w:rsid w:val="00291586"/>
    <w:rsid w:val="0029232A"/>
    <w:rsid w:val="002A32BB"/>
    <w:rsid w:val="002C0C0A"/>
    <w:rsid w:val="002C3DF7"/>
    <w:rsid w:val="002C65A0"/>
    <w:rsid w:val="002D5D39"/>
    <w:rsid w:val="002E1D74"/>
    <w:rsid w:val="002E324E"/>
    <w:rsid w:val="002E70FC"/>
    <w:rsid w:val="003012BC"/>
    <w:rsid w:val="0030519E"/>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977FF"/>
    <w:rsid w:val="003B50BB"/>
    <w:rsid w:val="003C16C2"/>
    <w:rsid w:val="003C5B49"/>
    <w:rsid w:val="003D0D25"/>
    <w:rsid w:val="003D0F21"/>
    <w:rsid w:val="003E0D5D"/>
    <w:rsid w:val="003E3204"/>
    <w:rsid w:val="003F570C"/>
    <w:rsid w:val="0040784E"/>
    <w:rsid w:val="00420C1C"/>
    <w:rsid w:val="00424C30"/>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0162"/>
    <w:rsid w:val="005457DD"/>
    <w:rsid w:val="005615D0"/>
    <w:rsid w:val="00572562"/>
    <w:rsid w:val="00581218"/>
    <w:rsid w:val="005818C8"/>
    <w:rsid w:val="00591607"/>
    <w:rsid w:val="00592EE3"/>
    <w:rsid w:val="005A0058"/>
    <w:rsid w:val="005A2BE7"/>
    <w:rsid w:val="005A6736"/>
    <w:rsid w:val="005B5236"/>
    <w:rsid w:val="005C08AA"/>
    <w:rsid w:val="005C210C"/>
    <w:rsid w:val="005C5410"/>
    <w:rsid w:val="005C71E3"/>
    <w:rsid w:val="005E2B50"/>
    <w:rsid w:val="005E61B4"/>
    <w:rsid w:val="005F1D66"/>
    <w:rsid w:val="006140FF"/>
    <w:rsid w:val="00621EE1"/>
    <w:rsid w:val="00626C9C"/>
    <w:rsid w:val="0063017D"/>
    <w:rsid w:val="00631951"/>
    <w:rsid w:val="00632135"/>
    <w:rsid w:val="0063592D"/>
    <w:rsid w:val="00650433"/>
    <w:rsid w:val="006504A6"/>
    <w:rsid w:val="00651886"/>
    <w:rsid w:val="00656E53"/>
    <w:rsid w:val="0065775A"/>
    <w:rsid w:val="00676A42"/>
    <w:rsid w:val="00682757"/>
    <w:rsid w:val="00687F0D"/>
    <w:rsid w:val="0069329B"/>
    <w:rsid w:val="00693891"/>
    <w:rsid w:val="00694010"/>
    <w:rsid w:val="006954CA"/>
    <w:rsid w:val="006A0793"/>
    <w:rsid w:val="006C091C"/>
    <w:rsid w:val="006C2A33"/>
    <w:rsid w:val="006C3E4C"/>
    <w:rsid w:val="006C5EE2"/>
    <w:rsid w:val="006D163F"/>
    <w:rsid w:val="006E0DEB"/>
    <w:rsid w:val="006F11E8"/>
    <w:rsid w:val="006F1D5D"/>
    <w:rsid w:val="006F54CB"/>
    <w:rsid w:val="007357DE"/>
    <w:rsid w:val="00736C70"/>
    <w:rsid w:val="007372FA"/>
    <w:rsid w:val="00746268"/>
    <w:rsid w:val="00750A5D"/>
    <w:rsid w:val="00753112"/>
    <w:rsid w:val="0076436B"/>
    <w:rsid w:val="00770E36"/>
    <w:rsid w:val="007822BB"/>
    <w:rsid w:val="00783C68"/>
    <w:rsid w:val="0078490A"/>
    <w:rsid w:val="007913A0"/>
    <w:rsid w:val="007A0012"/>
    <w:rsid w:val="007C263C"/>
    <w:rsid w:val="007C26BC"/>
    <w:rsid w:val="007D1364"/>
    <w:rsid w:val="007D2A93"/>
    <w:rsid w:val="007D4AB3"/>
    <w:rsid w:val="007D62BC"/>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84E54"/>
    <w:rsid w:val="0089032B"/>
    <w:rsid w:val="00895A4B"/>
    <w:rsid w:val="008A06B6"/>
    <w:rsid w:val="008A2685"/>
    <w:rsid w:val="008A6AA1"/>
    <w:rsid w:val="008B2A0F"/>
    <w:rsid w:val="008B3505"/>
    <w:rsid w:val="008C3106"/>
    <w:rsid w:val="008C3EC8"/>
    <w:rsid w:val="008C5730"/>
    <w:rsid w:val="008D13A0"/>
    <w:rsid w:val="008D19A9"/>
    <w:rsid w:val="008D32E3"/>
    <w:rsid w:val="008D7A68"/>
    <w:rsid w:val="008E0EE0"/>
    <w:rsid w:val="008E4BEE"/>
    <w:rsid w:val="009133CD"/>
    <w:rsid w:val="0092193A"/>
    <w:rsid w:val="009224D5"/>
    <w:rsid w:val="00923BE1"/>
    <w:rsid w:val="00927618"/>
    <w:rsid w:val="0093363F"/>
    <w:rsid w:val="009369D6"/>
    <w:rsid w:val="00960D2A"/>
    <w:rsid w:val="00970C26"/>
    <w:rsid w:val="0097651D"/>
    <w:rsid w:val="00983D90"/>
    <w:rsid w:val="00995D4A"/>
    <w:rsid w:val="009A2432"/>
    <w:rsid w:val="009A27F6"/>
    <w:rsid w:val="009A4F6D"/>
    <w:rsid w:val="009B0073"/>
    <w:rsid w:val="009B45ED"/>
    <w:rsid w:val="009C5F0F"/>
    <w:rsid w:val="009C62E7"/>
    <w:rsid w:val="009D2EF7"/>
    <w:rsid w:val="009F51A9"/>
    <w:rsid w:val="00A2430F"/>
    <w:rsid w:val="00A255BA"/>
    <w:rsid w:val="00A3779F"/>
    <w:rsid w:val="00A41317"/>
    <w:rsid w:val="00A413D8"/>
    <w:rsid w:val="00A65C78"/>
    <w:rsid w:val="00A74BB3"/>
    <w:rsid w:val="00A8219E"/>
    <w:rsid w:val="00A94468"/>
    <w:rsid w:val="00A97E61"/>
    <w:rsid w:val="00AA1D7E"/>
    <w:rsid w:val="00AB6B57"/>
    <w:rsid w:val="00AC0BF4"/>
    <w:rsid w:val="00AD1AED"/>
    <w:rsid w:val="00AF0FFD"/>
    <w:rsid w:val="00AF46AF"/>
    <w:rsid w:val="00B01B34"/>
    <w:rsid w:val="00B01F9B"/>
    <w:rsid w:val="00B022A0"/>
    <w:rsid w:val="00B04ABF"/>
    <w:rsid w:val="00B1629F"/>
    <w:rsid w:val="00B210BC"/>
    <w:rsid w:val="00B302B4"/>
    <w:rsid w:val="00B36FCC"/>
    <w:rsid w:val="00B466F2"/>
    <w:rsid w:val="00B4681A"/>
    <w:rsid w:val="00B5343D"/>
    <w:rsid w:val="00B61371"/>
    <w:rsid w:val="00B915B6"/>
    <w:rsid w:val="00B91F69"/>
    <w:rsid w:val="00BA23D9"/>
    <w:rsid w:val="00BA2B2E"/>
    <w:rsid w:val="00BA3FA5"/>
    <w:rsid w:val="00BB1CFA"/>
    <w:rsid w:val="00BB7BCB"/>
    <w:rsid w:val="00BD4042"/>
    <w:rsid w:val="00BE7D66"/>
    <w:rsid w:val="00C0189C"/>
    <w:rsid w:val="00C03D31"/>
    <w:rsid w:val="00C04273"/>
    <w:rsid w:val="00C22CA0"/>
    <w:rsid w:val="00C24716"/>
    <w:rsid w:val="00C2518C"/>
    <w:rsid w:val="00C30238"/>
    <w:rsid w:val="00C32515"/>
    <w:rsid w:val="00C4722A"/>
    <w:rsid w:val="00C654DE"/>
    <w:rsid w:val="00C676D8"/>
    <w:rsid w:val="00C750BC"/>
    <w:rsid w:val="00C76458"/>
    <w:rsid w:val="00C77505"/>
    <w:rsid w:val="00C879F7"/>
    <w:rsid w:val="00CA595E"/>
    <w:rsid w:val="00CC4A71"/>
    <w:rsid w:val="00CD41EB"/>
    <w:rsid w:val="00CD7B75"/>
    <w:rsid w:val="00CF29CC"/>
    <w:rsid w:val="00D06800"/>
    <w:rsid w:val="00D06D8B"/>
    <w:rsid w:val="00D30535"/>
    <w:rsid w:val="00D55031"/>
    <w:rsid w:val="00D620C6"/>
    <w:rsid w:val="00D72633"/>
    <w:rsid w:val="00D75769"/>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1ED4"/>
    <w:rsid w:val="00DF306F"/>
    <w:rsid w:val="00E05994"/>
    <w:rsid w:val="00E06731"/>
    <w:rsid w:val="00E06A59"/>
    <w:rsid w:val="00E072E6"/>
    <w:rsid w:val="00E178F6"/>
    <w:rsid w:val="00E21894"/>
    <w:rsid w:val="00E22C03"/>
    <w:rsid w:val="00E35FA1"/>
    <w:rsid w:val="00E40D2E"/>
    <w:rsid w:val="00E43678"/>
    <w:rsid w:val="00E530BC"/>
    <w:rsid w:val="00E55AA7"/>
    <w:rsid w:val="00E738F4"/>
    <w:rsid w:val="00E75C53"/>
    <w:rsid w:val="00E77D7F"/>
    <w:rsid w:val="00E85D18"/>
    <w:rsid w:val="00E87285"/>
    <w:rsid w:val="00E9274E"/>
    <w:rsid w:val="00EA1CC8"/>
    <w:rsid w:val="00EA23FA"/>
    <w:rsid w:val="00EA4B8A"/>
    <w:rsid w:val="00EC2BCA"/>
    <w:rsid w:val="00EC4044"/>
    <w:rsid w:val="00ED0760"/>
    <w:rsid w:val="00ED11E2"/>
    <w:rsid w:val="00ED26BA"/>
    <w:rsid w:val="00EE22E3"/>
    <w:rsid w:val="00EF4A17"/>
    <w:rsid w:val="00EF4C01"/>
    <w:rsid w:val="00F00210"/>
    <w:rsid w:val="00F0488B"/>
    <w:rsid w:val="00F1145C"/>
    <w:rsid w:val="00F25F45"/>
    <w:rsid w:val="00F51148"/>
    <w:rsid w:val="00F568D6"/>
    <w:rsid w:val="00F67BDD"/>
    <w:rsid w:val="00F70304"/>
    <w:rsid w:val="00F75FFF"/>
    <w:rsid w:val="00F77D37"/>
    <w:rsid w:val="00F8097C"/>
    <w:rsid w:val="00F863D9"/>
    <w:rsid w:val="00F87086"/>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D66"/>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semiHidden/>
    <w:unhideWhenUsed/>
    <w:rsid w:val="00113086"/>
    <w:rPr>
      <w:sz w:val="16"/>
      <w:szCs w:val="16"/>
    </w:rPr>
  </w:style>
  <w:style w:type="paragraph" w:styleId="CommentText">
    <w:name w:val="annotation text"/>
    <w:basedOn w:val="Normal"/>
    <w:link w:val="CommentTextChar"/>
    <w:uiPriority w:val="99"/>
    <w:unhideWhenUsed/>
    <w:rsid w:val="00113086"/>
    <w:rPr>
      <w:sz w:val="20"/>
      <w:szCs w:val="20"/>
    </w:rPr>
  </w:style>
  <w:style w:type="character" w:customStyle="1" w:styleId="CommentTextChar">
    <w:name w:val="Comment Text Char"/>
    <w:basedOn w:val="DefaultParagraphFont"/>
    <w:link w:val="CommentText"/>
    <w:uiPriority w:val="99"/>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TableGrid">
    <w:name w:val="Table Grid"/>
    <w:basedOn w:val="TableNormal"/>
    <w:uiPriority w:val="59"/>
    <w:rsid w:val="00540162"/>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8B2A0F"/>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812640">
      <w:bodyDiv w:val="1"/>
      <w:marLeft w:val="0"/>
      <w:marRight w:val="0"/>
      <w:marTop w:val="0"/>
      <w:marBottom w:val="0"/>
      <w:divBdr>
        <w:top w:val="none" w:sz="0" w:space="0" w:color="auto"/>
        <w:left w:val="none" w:sz="0" w:space="0" w:color="auto"/>
        <w:bottom w:val="none" w:sz="0" w:space="0" w:color="auto"/>
        <w:right w:val="none" w:sz="0" w:space="0" w:color="auto"/>
      </w:divBdr>
      <w:divsChild>
        <w:div w:id="1468160079">
          <w:marLeft w:val="0"/>
          <w:marRight w:val="0"/>
          <w:marTop w:val="0"/>
          <w:marBottom w:val="0"/>
          <w:divBdr>
            <w:top w:val="none" w:sz="0" w:space="0" w:color="auto"/>
            <w:left w:val="none" w:sz="0" w:space="0" w:color="auto"/>
            <w:bottom w:val="none" w:sz="0" w:space="0" w:color="auto"/>
            <w:right w:val="none" w:sz="0" w:space="0" w:color="auto"/>
          </w:divBdr>
          <w:divsChild>
            <w:div w:id="18955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ompliance@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olactive.com/downloads/Guideline-Solactive-ESG-Exclusions-Enhanced-Index.pdf"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6.sv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3724FB"/>
    <w:rsid w:val="005162A2"/>
    <w:rsid w:val="00523072"/>
    <w:rsid w:val="005325BE"/>
    <w:rsid w:val="00543530"/>
    <w:rsid w:val="00872728"/>
    <w:rsid w:val="00911CFE"/>
    <w:rsid w:val="009A3E4C"/>
    <w:rsid w:val="009E61CE"/>
    <w:rsid w:val="00A35F37"/>
    <w:rsid w:val="00A64514"/>
    <w:rsid w:val="00A943D4"/>
    <w:rsid w:val="00AA199C"/>
    <w:rsid w:val="00CB545D"/>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1612</Words>
  <Characters>9195</Characters>
  <Application>Microsoft Office Word</Application>
  <DocSecurity>4</DocSecurity>
  <Lines>76</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eCommerce Logistics index | April 2022</vt:lpstr>
      <vt:lpstr>Index Calculation Guideline</vt:lpstr>
    </vt:vector>
  </TitlesOfParts>
  <Company/>
  <LinksUpToDate>false</LinksUpToDate>
  <CharactersWithSpaces>10786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eCommerce Logistics index</dc:title>
  <dc:subject>Calculation Documents &amp; Methodologies</dc:subject>
  <dc:creator>Solactive AG</dc:creator>
  <cp:keywords/>
  <dc:description/>
  <cp:lastModifiedBy>Alexei, Cristina</cp:lastModifiedBy>
  <cp:revision>2</cp:revision>
  <cp:lastPrinted>2018-12-10T16:54:00Z</cp:lastPrinted>
  <dcterms:created xsi:type="dcterms:W3CDTF">2022-04-06T16:40:00Z</dcterms:created>
  <dcterms:modified xsi:type="dcterms:W3CDTF">2022-04-06T16:40:00Z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