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1AE2EF7F" w:rsidR="0092193A" w:rsidRPr="0097651D" w:rsidRDefault="00113086" w:rsidP="0092193A">
              <w:pPr>
                <w:pStyle w:val="Title"/>
                <w:rPr>
                  <w:lang w:val="en-US"/>
                </w:rPr>
              </w:pPr>
              <w:r w:rsidRPr="00D76406">
                <w:rPr>
                  <w:color w:val="FFFFFF" w:themeColor="background1"/>
                  <w:lang w:val="en-US"/>
                </w:rPr>
                <w:t xml:space="preserve">Market Consultation </w:t>
              </w:r>
              <w:r w:rsidR="00B45AD2">
                <w:rPr>
                  <w:color w:val="FFFFFF" w:themeColor="background1"/>
                  <w:lang w:val="en-US"/>
                </w:rPr>
                <w:t>Solactive Hydrogen Economy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251037D0" w:rsidR="00466905" w:rsidRPr="00D902A1" w:rsidRDefault="00E01259"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04-08T00:00:00Z">
                                      <w:dateFormat w:val="dd MMMM yyyy"/>
                                      <w:lid w:val="en-GB"/>
                                      <w:storeMappedDataAs w:val="dateTime"/>
                                      <w:calendar w:val="gregorian"/>
                                    </w:date>
                                  </w:sdtPr>
                                  <w:sdtEndPr/>
                                  <w:sdtContent>
                                    <w:r w:rsidR="00CF1E83">
                                      <w:rPr>
                                        <w:color w:val="FFFFFF" w:themeColor="background1"/>
                                        <w:sz w:val="26"/>
                                        <w:szCs w:val="26"/>
                                        <w:lang w:val="en-GB"/>
                                      </w:rPr>
                                      <w:t>08 April 2022</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251037D0" w:rsidR="00466905" w:rsidRPr="00D902A1" w:rsidRDefault="00E01259"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04-08T00:00:00Z">
                                <w:dateFormat w:val="dd MMMM yyyy"/>
                                <w:lid w:val="en-GB"/>
                                <w:storeMappedDataAs w:val="dateTime"/>
                                <w:calendar w:val="gregorian"/>
                              </w:date>
                            </w:sdtPr>
                            <w:sdtEndPr/>
                            <w:sdtContent>
                              <w:r w:rsidR="00CF1E83">
                                <w:rPr>
                                  <w:color w:val="FFFFFF" w:themeColor="background1"/>
                                  <w:sz w:val="26"/>
                                  <w:szCs w:val="26"/>
                                  <w:lang w:val="en-GB"/>
                                </w:rPr>
                                <w:t>08 April 2022</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59DC57B1" w14:textId="7450CA14"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A97E61" w:rsidRPr="007F3410">
        <w:rPr>
          <w:lang w:val="en-GB"/>
        </w:rPr>
        <w:t xml:space="preserve"> Ind</w:t>
      </w:r>
      <w:r w:rsidR="00E05994" w:rsidRPr="007F3410">
        <w:rPr>
          <w:lang w:val="en-GB"/>
        </w:rPr>
        <w:t>ices (the ‘</w:t>
      </w:r>
      <w:r w:rsidR="00A97E61" w:rsidRPr="007F3410">
        <w:rPr>
          <w:lang w:val="en-GB"/>
        </w:rPr>
        <w:t>Ind</w:t>
      </w:r>
      <w:r w:rsidR="00E05994" w:rsidRPr="007F3410">
        <w:rPr>
          <w:lang w:val="en-GB"/>
        </w:rPr>
        <w:t>ices’</w:t>
      </w:r>
      <w:r w:rsidR="00E05994">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rsidRPr="00B45AD2" w14:paraId="285C0C70" w14:textId="77777777" w:rsidTr="007F3410">
        <w:trPr>
          <w:trHeight w:val="1580"/>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766CF1CF" w14:textId="75C17250" w:rsidR="00E05994" w:rsidRPr="00B45AD2" w:rsidRDefault="00B45AD2" w:rsidP="00466905">
            <w:pPr>
              <w:spacing w:line="256" w:lineRule="auto"/>
              <w:rPr>
                <w:rFonts w:eastAsia="Calibri"/>
                <w:color w:val="000000"/>
                <w:lang w:val="en-GB" w:eastAsia="en-US"/>
              </w:rPr>
            </w:pPr>
            <w:r w:rsidRPr="00B45AD2">
              <w:rPr>
                <w:rFonts w:eastAsia="Calibri"/>
                <w:color w:val="000000"/>
                <w:lang w:val="en-GB" w:eastAsia="en-US"/>
              </w:rPr>
              <w:t>Solactive Hydrogen Economy Index GTR</w:t>
            </w:r>
          </w:p>
          <w:p w14:paraId="02C417A4" w14:textId="77777777" w:rsidR="00B45AD2" w:rsidRPr="00B45AD2" w:rsidRDefault="00B45AD2" w:rsidP="00466905">
            <w:pPr>
              <w:spacing w:line="256" w:lineRule="auto"/>
              <w:rPr>
                <w:rFonts w:eastAsia="Calibri"/>
                <w:color w:val="000000"/>
                <w:lang w:val="en-GB" w:eastAsia="en-US"/>
              </w:rPr>
            </w:pPr>
            <w:r w:rsidRPr="00B45AD2">
              <w:rPr>
                <w:rFonts w:eastAsia="Calibri"/>
                <w:color w:val="000000"/>
                <w:lang w:val="en-GB" w:eastAsia="en-US"/>
              </w:rPr>
              <w:t>Solactive Hydrogen Economy Index NTR</w:t>
            </w:r>
          </w:p>
          <w:p w14:paraId="1986C86E" w14:textId="60A48EEE" w:rsidR="00B45AD2" w:rsidRPr="00B45AD2" w:rsidRDefault="00B45AD2" w:rsidP="00466905">
            <w:pPr>
              <w:spacing w:line="256" w:lineRule="auto"/>
              <w:rPr>
                <w:rFonts w:eastAsia="Calibri"/>
                <w:color w:val="000000"/>
                <w:lang w:val="en-GB" w:eastAsia="en-US"/>
              </w:rPr>
            </w:pPr>
            <w:r w:rsidRPr="00B45AD2">
              <w:rPr>
                <w:rFonts w:eastAsia="Calibri"/>
                <w:color w:val="000000"/>
                <w:lang w:val="en-GB" w:eastAsia="en-US"/>
              </w:rPr>
              <w:t>Solactive Hydrogen Economy Index PR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46289C92" w14:textId="4A7E9CDA" w:rsidR="00B45AD2" w:rsidRPr="00B45AD2" w:rsidRDefault="00B45AD2" w:rsidP="00B45AD2">
            <w:pPr>
              <w:spacing w:line="256" w:lineRule="auto"/>
              <w:rPr>
                <w:rFonts w:eastAsia="Calibri"/>
                <w:color w:val="000000"/>
                <w:lang w:val="en-GB" w:eastAsia="en-US"/>
              </w:rPr>
            </w:pPr>
            <w:r w:rsidRPr="00B45AD2">
              <w:rPr>
                <w:rFonts w:eastAsia="Calibri"/>
                <w:color w:val="000000"/>
                <w:lang w:val="en-GB" w:eastAsia="en-US"/>
              </w:rPr>
              <w:br/>
              <w:t>.SOHYDROT</w:t>
            </w:r>
          </w:p>
          <w:p w14:paraId="785B37FA" w14:textId="76542412" w:rsidR="00B45AD2" w:rsidRPr="00B45AD2" w:rsidRDefault="00B45AD2" w:rsidP="00B45AD2">
            <w:pPr>
              <w:spacing w:line="256" w:lineRule="auto"/>
              <w:rPr>
                <w:rFonts w:eastAsia="Calibri"/>
                <w:color w:val="000000"/>
                <w:lang w:val="en-GB" w:eastAsia="en-US"/>
              </w:rPr>
            </w:pPr>
            <w:r w:rsidRPr="00B45AD2">
              <w:rPr>
                <w:rFonts w:eastAsia="Calibri"/>
                <w:color w:val="000000"/>
                <w:lang w:val="en-GB" w:eastAsia="en-US"/>
              </w:rPr>
              <w:t>.SOHYDRON</w:t>
            </w:r>
          </w:p>
          <w:p w14:paraId="62C3F688" w14:textId="004BCBAB" w:rsidR="00B45AD2" w:rsidRPr="00B45AD2" w:rsidRDefault="00B45AD2" w:rsidP="00B45AD2">
            <w:pPr>
              <w:spacing w:line="256" w:lineRule="auto"/>
              <w:rPr>
                <w:rFonts w:eastAsia="Calibri"/>
                <w:color w:val="000000"/>
                <w:lang w:val="en-GB" w:eastAsia="en-US"/>
              </w:rPr>
            </w:pPr>
            <w:r w:rsidRPr="00B45AD2">
              <w:rPr>
                <w:rFonts w:eastAsia="Calibri"/>
                <w:color w:val="000000"/>
                <w:lang w:val="en-GB" w:eastAsia="en-US"/>
              </w:rPr>
              <w:t>.SOHYDROP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393B8C20" w14:textId="77777777" w:rsidR="00E05994" w:rsidRDefault="00B45AD2" w:rsidP="00466905">
            <w:pPr>
              <w:spacing w:line="256" w:lineRule="auto"/>
              <w:rPr>
                <w:rFonts w:eastAsia="Calibri"/>
                <w:color w:val="000000"/>
                <w:lang w:val="en-GB" w:eastAsia="en-US"/>
              </w:rPr>
            </w:pPr>
            <w:r w:rsidRPr="00B45AD2">
              <w:rPr>
                <w:rFonts w:eastAsia="Calibri"/>
                <w:color w:val="000000"/>
                <w:lang w:val="en-GB" w:eastAsia="en-US"/>
              </w:rPr>
              <w:t>DE000SL0B9F2</w:t>
            </w:r>
          </w:p>
          <w:p w14:paraId="08ED46C6" w14:textId="77777777" w:rsidR="00B45AD2" w:rsidRDefault="00B45AD2" w:rsidP="00466905">
            <w:pPr>
              <w:spacing w:line="256" w:lineRule="auto"/>
              <w:rPr>
                <w:rFonts w:eastAsia="Calibri"/>
                <w:color w:val="000000"/>
                <w:lang w:val="en-GB" w:eastAsia="en-US"/>
              </w:rPr>
            </w:pPr>
            <w:r w:rsidRPr="00B45AD2">
              <w:rPr>
                <w:rFonts w:eastAsia="Calibri"/>
                <w:color w:val="000000"/>
                <w:lang w:val="en-GB" w:eastAsia="en-US"/>
              </w:rPr>
              <w:t>DE000SL0B9E5</w:t>
            </w:r>
          </w:p>
          <w:p w14:paraId="12D59FB1" w14:textId="6D4262DD" w:rsidR="00B45AD2" w:rsidRDefault="00B45AD2" w:rsidP="00466905">
            <w:pPr>
              <w:spacing w:line="256" w:lineRule="auto"/>
              <w:rPr>
                <w:rFonts w:eastAsia="Calibri"/>
                <w:color w:val="000000"/>
                <w:lang w:val="en-GB" w:eastAsia="en-US"/>
              </w:rPr>
            </w:pPr>
            <w:r w:rsidRPr="00B45AD2">
              <w:rPr>
                <w:rFonts w:eastAsia="Calibri"/>
                <w:color w:val="000000"/>
                <w:lang w:val="en-GB" w:eastAsia="en-US"/>
              </w:rPr>
              <w:t>DE000SL0B9D7</w:t>
            </w:r>
          </w:p>
        </w:tc>
      </w:tr>
    </w:tbl>
    <w:p w14:paraId="590E3787" w14:textId="77777777" w:rsidR="00E05994" w:rsidRDefault="00E05994" w:rsidP="00E05994">
      <w:pPr>
        <w:spacing w:before="0" w:after="160" w:line="259" w:lineRule="auto"/>
        <w:rPr>
          <w:lang w:val="en-GB"/>
        </w:rPr>
      </w:pPr>
    </w:p>
    <w:p w14:paraId="012DE387" w14:textId="04707C27" w:rsidR="00783C68" w:rsidRPr="007F3410" w:rsidRDefault="00E05994" w:rsidP="00995D4A">
      <w:pPr>
        <w:spacing w:before="0" w:after="160" w:line="259" w:lineRule="auto"/>
        <w:jc w:val="left"/>
        <w:rPr>
          <w:b/>
          <w:bCs/>
          <w:sz w:val="22"/>
          <w:szCs w:val="22"/>
          <w:lang w:val="en-GB"/>
        </w:rPr>
      </w:pPr>
      <w:r>
        <w:rPr>
          <w:lang w:val="en-GB"/>
        </w:rPr>
        <w:t xml:space="preserve"> </w:t>
      </w:r>
      <w:r w:rsidR="00783C68" w:rsidRPr="007F3410">
        <w:rPr>
          <w:b/>
          <w:bCs/>
          <w:sz w:val="28"/>
          <w:szCs w:val="28"/>
          <w:u w:val="single"/>
          <w:lang w:val="en-GB"/>
        </w:rPr>
        <w:t xml:space="preserve">Rationale for </w:t>
      </w:r>
      <w:r w:rsidR="004D6535" w:rsidRPr="007F3410">
        <w:rPr>
          <w:b/>
          <w:bCs/>
          <w:sz w:val="28"/>
          <w:szCs w:val="28"/>
          <w:u w:val="single"/>
          <w:lang w:val="en-GB"/>
        </w:rPr>
        <w:t>Market Consultation</w:t>
      </w:r>
    </w:p>
    <w:p w14:paraId="1A01CB15" w14:textId="786272C9" w:rsidR="001F357C" w:rsidRPr="00AE467D" w:rsidRDefault="00CF1E83" w:rsidP="007F3410">
      <w:pPr>
        <w:rPr>
          <w:lang w:val="en-US" w:eastAsia="en-US"/>
        </w:rPr>
      </w:pPr>
      <w:r>
        <w:rPr>
          <w:lang w:val="en-DE"/>
        </w:rPr>
        <w:t>The Indices</w:t>
      </w:r>
      <w:r w:rsidRPr="007F3410">
        <w:rPr>
          <w:lang w:val="en-US"/>
        </w:rPr>
        <w:t xml:space="preserve"> aim</w:t>
      </w:r>
      <w:r>
        <w:rPr>
          <w:lang w:val="en-DE"/>
        </w:rPr>
        <w:t xml:space="preserve"> </w:t>
      </w:r>
      <w:r w:rsidRPr="007F3410">
        <w:rPr>
          <w:lang w:val="en-US"/>
        </w:rPr>
        <w:t xml:space="preserve">to track the performance of a basket of stocks of companies that are actively engaged in the hydrogen industry. </w:t>
      </w:r>
      <w:r w:rsidR="00274CAA" w:rsidRPr="00AE467D">
        <w:rPr>
          <w:lang w:val="en-HK"/>
        </w:rPr>
        <w:t xml:space="preserve">Considering the increasing market demand for ESG compliant indices and the regulatory requirements, </w:t>
      </w:r>
      <w:r w:rsidR="00505A5C" w:rsidRPr="00AE467D">
        <w:rPr>
          <w:lang w:val="en-HK"/>
        </w:rPr>
        <w:t xml:space="preserve">Solactive </w:t>
      </w:r>
      <w:r w:rsidR="00274CAA" w:rsidRPr="00AE467D">
        <w:rPr>
          <w:lang w:val="en-HK"/>
        </w:rPr>
        <w:t xml:space="preserve">consider to </w:t>
      </w:r>
      <w:r>
        <w:rPr>
          <w:lang w:val="en-DE"/>
        </w:rPr>
        <w:t xml:space="preserve">introduce </w:t>
      </w:r>
      <w:r w:rsidR="00274CAA" w:rsidRPr="00AE467D">
        <w:rPr>
          <w:lang w:val="en-HK"/>
        </w:rPr>
        <w:t xml:space="preserve"> more rigorous, reliable and comprehensive</w:t>
      </w:r>
      <w:r w:rsidR="00ED39A9">
        <w:rPr>
          <w:lang w:val="en-DE"/>
        </w:rPr>
        <w:t xml:space="preserve"> </w:t>
      </w:r>
      <w:r w:rsidR="00ED39A9" w:rsidRPr="00AE467D">
        <w:rPr>
          <w:lang w:val="en-HK"/>
        </w:rPr>
        <w:t>filters</w:t>
      </w:r>
      <w:r w:rsidR="00274CAA" w:rsidRPr="00AE467D">
        <w:rPr>
          <w:lang w:val="en-HK"/>
        </w:rPr>
        <w:t xml:space="preserve"> than the filters currently in place.</w:t>
      </w:r>
      <w:r w:rsidR="001F357C" w:rsidRPr="00AE467D">
        <w:rPr>
          <w:lang w:val="en-HK"/>
        </w:rPr>
        <w:t xml:space="preserve"> </w:t>
      </w:r>
      <w:r w:rsidR="00DB0C80">
        <w:rPr>
          <w:lang w:val="en-DE"/>
        </w:rPr>
        <w:t xml:space="preserve">In order </w:t>
      </w:r>
      <w:r w:rsidR="001F357C" w:rsidRPr="00AE467D">
        <w:rPr>
          <w:lang w:val="en-HK"/>
        </w:rPr>
        <w:t xml:space="preserve">to </w:t>
      </w:r>
      <w:r w:rsidR="001F357C" w:rsidRPr="00AE467D">
        <w:rPr>
          <w:lang w:val="en-US"/>
        </w:rPr>
        <w:t xml:space="preserve">further strengthen the ESG profile of the </w:t>
      </w:r>
      <w:r w:rsidR="00DB0C80">
        <w:rPr>
          <w:lang w:val="en-DE"/>
        </w:rPr>
        <w:t xml:space="preserve">Indices, Solactive has proposed </w:t>
      </w:r>
      <w:r w:rsidR="001F357C" w:rsidRPr="00AE467D">
        <w:rPr>
          <w:lang w:val="en-US"/>
        </w:rPr>
        <w:t xml:space="preserve"> to lower the thermal coal power generation threshold for index inclusion. </w:t>
      </w:r>
    </w:p>
    <w:p w14:paraId="15B5DD4E" w14:textId="56B66535" w:rsidR="001F357C" w:rsidRDefault="001F357C" w:rsidP="00D976A6">
      <w:pPr>
        <w:rPr>
          <w:lang w:val="en-HK"/>
        </w:rPr>
      </w:pPr>
      <w:r>
        <w:rPr>
          <w:lang w:val="en-HK"/>
        </w:rPr>
        <w:t>Furthermore, Solactive</w:t>
      </w:r>
      <w:r w:rsidRPr="0061270C">
        <w:rPr>
          <w:lang w:val="en-HK"/>
        </w:rPr>
        <w:t xml:space="preserve"> propose</w:t>
      </w:r>
      <w:r>
        <w:rPr>
          <w:lang w:val="en-HK"/>
        </w:rPr>
        <w:t>s</w:t>
      </w:r>
      <w:r w:rsidRPr="0061270C">
        <w:rPr>
          <w:lang w:val="en-HK"/>
        </w:rPr>
        <w:t xml:space="preserve"> to include a dynamic weighting mechanism that takes into account factors like Assets under Management in the product(s) tracking the </w:t>
      </w:r>
      <w:r w:rsidR="00507D17">
        <w:rPr>
          <w:lang w:val="en-DE"/>
        </w:rPr>
        <w:t>Indices</w:t>
      </w:r>
      <w:r w:rsidRPr="0061270C">
        <w:rPr>
          <w:lang w:val="en-HK"/>
        </w:rPr>
        <w:t xml:space="preserve">, </w:t>
      </w:r>
      <w:r w:rsidR="00507D17" w:rsidRPr="0061270C">
        <w:rPr>
          <w:lang w:val="en-HK"/>
        </w:rPr>
        <w:t>maximum</w:t>
      </w:r>
      <w:r w:rsidRPr="0061270C">
        <w:rPr>
          <w:lang w:val="en-HK"/>
        </w:rPr>
        <w:t xml:space="preserve"> participation, turnover and maximum ownership per company</w:t>
      </w:r>
      <w:r w:rsidR="00D976A6">
        <w:rPr>
          <w:lang w:val="en-DE"/>
        </w:rPr>
        <w:t xml:space="preserve"> to </w:t>
      </w:r>
      <w:r w:rsidRPr="0061270C">
        <w:rPr>
          <w:lang w:val="en-HK"/>
        </w:rPr>
        <w:t xml:space="preserve"> ensure</w:t>
      </w:r>
      <w:r w:rsidR="00D976A6">
        <w:rPr>
          <w:lang w:val="en-DE"/>
        </w:rPr>
        <w:t xml:space="preserve"> tradability, reduction of tracking difference of the </w:t>
      </w:r>
      <w:r w:rsidR="00D976A6" w:rsidRPr="0061270C">
        <w:rPr>
          <w:lang w:val="en-HK"/>
        </w:rPr>
        <w:t xml:space="preserve">product(s) </w:t>
      </w:r>
      <w:r>
        <w:rPr>
          <w:lang w:val="en-HK"/>
        </w:rPr>
        <w:t xml:space="preserve"> </w:t>
      </w:r>
      <w:r w:rsidRPr="0061270C">
        <w:rPr>
          <w:lang w:val="en-HK"/>
        </w:rPr>
        <w:t xml:space="preserve">tracking the </w:t>
      </w:r>
      <w:r w:rsidR="00D976A6">
        <w:rPr>
          <w:lang w:val="en-DE"/>
        </w:rPr>
        <w:t>Indices.</w:t>
      </w:r>
      <w:r w:rsidRPr="0061270C">
        <w:rPr>
          <w:lang w:val="en-HK"/>
        </w:rPr>
        <w:t xml:space="preserve"> </w:t>
      </w:r>
    </w:p>
    <w:p w14:paraId="71169012" w14:textId="3D6B7140" w:rsidR="00D976A6" w:rsidRDefault="00D976A6" w:rsidP="00D976A6">
      <w:pPr>
        <w:spacing w:before="0" w:after="160" w:line="259" w:lineRule="auto"/>
        <w:rPr>
          <w:rFonts w:eastAsia="Calibri"/>
          <w:lang w:val="en-US" w:eastAsia="en-US"/>
        </w:rPr>
      </w:pPr>
      <w:r>
        <w:rPr>
          <w:rFonts w:eastAsia="Calibri"/>
          <w:lang w:val="en-US" w:eastAsia="en-US"/>
        </w:rPr>
        <w:t>A more detailed overview of the</w:t>
      </w:r>
      <w:r>
        <w:rPr>
          <w:rFonts w:eastAsia="Calibri"/>
          <w:lang w:val="en-DE" w:eastAsia="en-US"/>
        </w:rPr>
        <w:t xml:space="preserve"> proposed changes is provided </w:t>
      </w:r>
      <w:r>
        <w:rPr>
          <w:rFonts w:eastAsia="Calibri"/>
          <w:lang w:val="en-US" w:eastAsia="en-US"/>
        </w:rPr>
        <w:t>below in section “Proposed Changes to the Index Guideline”.</w:t>
      </w:r>
    </w:p>
    <w:p w14:paraId="6B705B1C" w14:textId="77777777" w:rsidR="00D75ED2" w:rsidRPr="0061270C" w:rsidRDefault="00D75ED2" w:rsidP="007F3410">
      <w:pPr>
        <w:rPr>
          <w:b/>
          <w:bCs/>
          <w:lang w:val="en-HK"/>
        </w:rPr>
      </w:pPr>
    </w:p>
    <w:p w14:paraId="2A079CAD" w14:textId="05B5F0DC" w:rsidR="00F568D6" w:rsidRPr="007F3410" w:rsidRDefault="004A428F" w:rsidP="00F568D6">
      <w:pPr>
        <w:spacing w:before="0" w:after="160" w:line="259" w:lineRule="auto"/>
        <w:jc w:val="left"/>
        <w:rPr>
          <w:b/>
          <w:bCs/>
          <w:sz w:val="28"/>
          <w:szCs w:val="28"/>
          <w:u w:val="single"/>
          <w:lang w:val="en-GB"/>
        </w:rPr>
      </w:pPr>
      <w:r w:rsidRPr="007F3410">
        <w:rPr>
          <w:b/>
          <w:bCs/>
          <w:sz w:val="28"/>
          <w:szCs w:val="28"/>
          <w:u w:val="single"/>
          <w:lang w:val="en-GB"/>
        </w:rPr>
        <w:t xml:space="preserve">Proposed </w:t>
      </w:r>
      <w:r w:rsidR="00F568D6" w:rsidRPr="007F3410">
        <w:rPr>
          <w:b/>
          <w:bCs/>
          <w:sz w:val="28"/>
          <w:szCs w:val="28"/>
          <w:u w:val="single"/>
          <w:lang w:val="en-GB"/>
        </w:rPr>
        <w:t>Changes to the Index Guideline</w:t>
      </w:r>
    </w:p>
    <w:p w14:paraId="2B6C9A58" w14:textId="5CEBAE21" w:rsidR="00113086" w:rsidRDefault="004A428F" w:rsidP="0085149C">
      <w:pPr>
        <w:spacing w:before="0" w:after="160" w:line="259" w:lineRule="auto"/>
        <w:jc w:val="left"/>
        <w:rPr>
          <w:lang w:val="en-GB"/>
        </w:rPr>
      </w:pPr>
      <w:r>
        <w:rPr>
          <w:lang w:val="en-GB"/>
        </w:rPr>
        <w:t>The following Methodology changes are proposed in the following points</w:t>
      </w:r>
      <w:r w:rsidR="00C32515">
        <w:rPr>
          <w:lang w:val="en-GB"/>
        </w:rPr>
        <w:t xml:space="preserve"> of the Index Guideline </w:t>
      </w:r>
      <w:r>
        <w:rPr>
          <w:lang w:val="en-GB"/>
        </w:rPr>
        <w:t>(ordered in accordance with the numbering of the affected sections):</w:t>
      </w:r>
    </w:p>
    <w:p w14:paraId="58841DC6" w14:textId="77777777" w:rsidR="00832F86" w:rsidRDefault="00832F86" w:rsidP="0085149C">
      <w:pPr>
        <w:spacing w:before="0" w:after="160" w:line="259" w:lineRule="auto"/>
        <w:jc w:val="left"/>
        <w:rPr>
          <w:lang w:val="en-GB"/>
        </w:rPr>
      </w:pPr>
    </w:p>
    <w:p w14:paraId="27FB8B49" w14:textId="15814955" w:rsidR="00D976A6" w:rsidRPr="007F3410" w:rsidRDefault="00A73332" w:rsidP="007F3410">
      <w:pPr>
        <w:spacing w:before="0" w:after="160" w:line="259" w:lineRule="auto"/>
        <w:jc w:val="left"/>
        <w:rPr>
          <w:b/>
          <w:bCs/>
          <w:lang w:val="en-US" w:eastAsia="en-US"/>
        </w:rPr>
      </w:pPr>
      <w:r w:rsidRPr="00A73332">
        <w:rPr>
          <w:b/>
          <w:bCs/>
          <w:lang w:val="en-GB"/>
        </w:rPr>
        <w:t>Section 2.1</w:t>
      </w:r>
      <w:r w:rsidR="00485D84">
        <w:rPr>
          <w:b/>
          <w:bCs/>
          <w:lang w:val="en-GB"/>
        </w:rPr>
        <w:t>:</w:t>
      </w:r>
      <w:r w:rsidR="00D75ED2">
        <w:rPr>
          <w:b/>
          <w:bCs/>
          <w:lang w:val="en-DE"/>
        </w:rPr>
        <w:t xml:space="preserve"> </w:t>
      </w:r>
      <w:bookmarkStart w:id="1" w:name="_Toc93501480"/>
      <w:r w:rsidR="00D976A6" w:rsidRPr="007F3410">
        <w:rPr>
          <w:b/>
          <w:bCs/>
          <w:lang w:val="en-US" w:eastAsia="en-US"/>
        </w:rPr>
        <w:t>Index Universe Requirements</w:t>
      </w:r>
      <w:bookmarkEnd w:id="1"/>
    </w:p>
    <w:p w14:paraId="56D97C99" w14:textId="0FD35DE3" w:rsidR="0085149C" w:rsidRDefault="0085149C" w:rsidP="0085149C">
      <w:pPr>
        <w:spacing w:before="0" w:after="160" w:line="259" w:lineRule="auto"/>
        <w:jc w:val="left"/>
        <w:rPr>
          <w:lang w:val="en-GB"/>
        </w:rPr>
      </w:pPr>
      <w:r>
        <w:rPr>
          <w:lang w:val="en-GB"/>
        </w:rPr>
        <w:t>From:</w:t>
      </w:r>
    </w:p>
    <w:p w14:paraId="501D481E" w14:textId="2CE19BFC" w:rsidR="006421F5" w:rsidRDefault="006421F5" w:rsidP="0085149C">
      <w:pPr>
        <w:spacing w:before="0" w:after="160" w:line="259" w:lineRule="auto"/>
        <w:jc w:val="left"/>
        <w:rPr>
          <w:lang w:val="en-GB"/>
        </w:rPr>
      </w:pPr>
      <w:r>
        <w:rPr>
          <w:lang w:val="en-GB"/>
        </w:rPr>
        <w:t xml:space="preserve">[…] </w:t>
      </w:r>
    </w:p>
    <w:p w14:paraId="719ABAA0" w14:textId="763D02F0" w:rsidR="0085149C" w:rsidRPr="0085149C" w:rsidRDefault="0085149C" w:rsidP="007F3410">
      <w:pPr>
        <w:spacing w:before="0" w:after="160" w:line="259" w:lineRule="auto"/>
        <w:rPr>
          <w:lang w:val="en-GB"/>
        </w:rPr>
      </w:pPr>
      <w:r w:rsidRPr="0085149C">
        <w:rPr>
          <w:lang w:val="en-GB"/>
        </w:rPr>
        <w:lastRenderedPageBreak/>
        <w:t>2.</w:t>
      </w:r>
      <w:r>
        <w:rPr>
          <w:lang w:val="en-GB"/>
        </w:rPr>
        <w:t xml:space="preserve"> </w:t>
      </w:r>
      <w:r w:rsidRPr="0085149C">
        <w:rPr>
          <w:lang w:val="en-GB"/>
        </w:rPr>
        <w:t xml:space="preserve">Any company listed on the Future Protection List (the “FWPL”) produced by Legal &amp; General Investment Management (“LGIM”) are excluded from the </w:t>
      </w:r>
      <w:r w:rsidR="00DA2888" w:rsidRPr="005059CD">
        <w:rPr>
          <w:smallCaps/>
          <w:lang w:val="en-US"/>
        </w:rPr>
        <w:t>Index Universe</w:t>
      </w:r>
      <w:r w:rsidR="00DA2888">
        <w:rPr>
          <w:lang w:val="en-GB"/>
        </w:rPr>
        <w:t>.</w:t>
      </w:r>
      <w:r w:rsidR="00DA2888" w:rsidRPr="00DA2888">
        <w:rPr>
          <w:lang w:val="en-GB"/>
        </w:rPr>
        <w:t xml:space="preserve"> </w:t>
      </w:r>
      <w:r w:rsidRPr="0085149C">
        <w:rPr>
          <w:lang w:val="en-GB"/>
        </w:rPr>
        <w:t xml:space="preserve">The FWPL is reconstituted by LGIM on a semi-annual basis and the methodology by reference to which the FWPL is constructed is published at the following link: Future World Protection List Methodology. The most recently published FWPL that is available on a respective </w:t>
      </w:r>
      <w:r w:rsidR="00DA2888" w:rsidRPr="005059CD">
        <w:rPr>
          <w:smallCaps/>
          <w:lang w:val="en-US"/>
        </w:rPr>
        <w:t>Selection Day</w:t>
      </w:r>
      <w:r w:rsidR="00DA2888" w:rsidRPr="0085149C">
        <w:rPr>
          <w:lang w:val="en-GB"/>
        </w:rPr>
        <w:t xml:space="preserve"> </w:t>
      </w:r>
      <w:r w:rsidRPr="0085149C">
        <w:rPr>
          <w:lang w:val="en-GB"/>
        </w:rPr>
        <w:t>is applied. It can be found on the following website:</w:t>
      </w:r>
      <w:r w:rsidRPr="0085149C">
        <w:rPr>
          <w:lang w:val="en-GB"/>
        </w:rPr>
        <w:tab/>
        <w:t xml:space="preserve"> </w:t>
      </w:r>
    </w:p>
    <w:p w14:paraId="41B1A203" w14:textId="1C17812A" w:rsidR="0085149C" w:rsidRDefault="00E01259" w:rsidP="0085149C">
      <w:pPr>
        <w:spacing w:before="0" w:after="160" w:line="259" w:lineRule="auto"/>
        <w:jc w:val="left"/>
        <w:rPr>
          <w:lang w:val="en-GB"/>
        </w:rPr>
      </w:pPr>
      <w:hyperlink r:id="rId11" w:history="1">
        <w:r w:rsidR="0085149C" w:rsidRPr="00170867">
          <w:rPr>
            <w:rStyle w:val="Hyperlink"/>
            <w:lang w:val="en-GB"/>
          </w:rPr>
          <w:t>https://www.lgim.com/uk/en/capabilities/corporate-governance/tracking-esg-progress/</w:t>
        </w:r>
      </w:hyperlink>
      <w:r w:rsidR="0085149C" w:rsidRPr="0085149C">
        <w:rPr>
          <w:lang w:val="en-GB"/>
        </w:rPr>
        <w:t>.</w:t>
      </w:r>
    </w:p>
    <w:p w14:paraId="2EFF4FEE" w14:textId="77777777" w:rsidR="00D976A6" w:rsidRDefault="00D976A6" w:rsidP="00D976A6">
      <w:pPr>
        <w:spacing w:before="0" w:after="160" w:line="259" w:lineRule="auto"/>
        <w:jc w:val="left"/>
        <w:rPr>
          <w:lang w:val="en-GB"/>
        </w:rPr>
      </w:pPr>
      <w:r>
        <w:rPr>
          <w:lang w:val="en-GB"/>
        </w:rPr>
        <w:t xml:space="preserve">[…] </w:t>
      </w:r>
    </w:p>
    <w:p w14:paraId="23EBBAD6" w14:textId="77777777" w:rsidR="00D75ED2" w:rsidRDefault="00D75ED2" w:rsidP="0085149C">
      <w:pPr>
        <w:spacing w:before="0" w:after="160" w:line="259" w:lineRule="auto"/>
        <w:jc w:val="left"/>
        <w:rPr>
          <w:b/>
          <w:bCs/>
          <w:u w:val="single"/>
          <w:lang w:val="en-GB"/>
        </w:rPr>
      </w:pPr>
    </w:p>
    <w:p w14:paraId="5711D3FC" w14:textId="37E694EB" w:rsidR="0085149C" w:rsidRDefault="0085149C" w:rsidP="0085149C">
      <w:pPr>
        <w:spacing w:before="0" w:after="160" w:line="259" w:lineRule="auto"/>
        <w:jc w:val="left"/>
        <w:rPr>
          <w:b/>
          <w:bCs/>
          <w:u w:val="single"/>
          <w:lang w:val="en-GB"/>
        </w:rPr>
      </w:pPr>
      <w:r w:rsidRPr="0085149C">
        <w:rPr>
          <w:b/>
          <w:bCs/>
          <w:u w:val="single"/>
          <w:lang w:val="en-GB"/>
        </w:rPr>
        <w:t>To:</w:t>
      </w:r>
    </w:p>
    <w:p w14:paraId="32236D64" w14:textId="77777777" w:rsidR="006421F5" w:rsidRDefault="006421F5" w:rsidP="006421F5">
      <w:pPr>
        <w:spacing w:before="0" w:after="160" w:line="259" w:lineRule="auto"/>
        <w:jc w:val="left"/>
        <w:rPr>
          <w:lang w:val="en-GB"/>
        </w:rPr>
      </w:pPr>
      <w:r>
        <w:rPr>
          <w:lang w:val="en-GB"/>
        </w:rPr>
        <w:t xml:space="preserve">[…] </w:t>
      </w:r>
    </w:p>
    <w:p w14:paraId="0ED435DF" w14:textId="70352004" w:rsidR="0085149C" w:rsidRDefault="00F15782" w:rsidP="007F3410">
      <w:pPr>
        <w:spacing w:before="0" w:after="160" w:line="259" w:lineRule="auto"/>
        <w:rPr>
          <w:lang w:val="en-GB"/>
        </w:rPr>
      </w:pPr>
      <w:r>
        <w:rPr>
          <w:lang w:val="en-GB"/>
        </w:rPr>
        <w:t xml:space="preserve">2. </w:t>
      </w:r>
      <w:r w:rsidR="0085149C" w:rsidRPr="0085149C">
        <w:rPr>
          <w:lang w:val="en-GB"/>
        </w:rPr>
        <w:t xml:space="preserve">On each Selection Day, any company included in the </w:t>
      </w:r>
      <w:r w:rsidR="00697AE5" w:rsidRPr="005059CD">
        <w:rPr>
          <w:smallCaps/>
          <w:lang w:val="en-US"/>
        </w:rPr>
        <w:t>ESG Exclusions Index</w:t>
      </w:r>
      <w:r w:rsidR="00697AE5" w:rsidRPr="00697AE5">
        <w:rPr>
          <w:b/>
          <w:bCs/>
          <w:lang w:val="en-GB"/>
        </w:rPr>
        <w:t xml:space="preserve"> </w:t>
      </w:r>
      <w:r w:rsidR="0085149C" w:rsidRPr="0085149C">
        <w:rPr>
          <w:lang w:val="en-GB"/>
        </w:rPr>
        <w:t xml:space="preserve">as determined by </w:t>
      </w:r>
      <w:r w:rsidR="00697AE5" w:rsidRPr="005059CD">
        <w:rPr>
          <w:smallCaps/>
          <w:lang w:val="en-US"/>
        </w:rPr>
        <w:t>Solactive</w:t>
      </w:r>
      <w:r w:rsidR="00697AE5" w:rsidRPr="0085149C">
        <w:rPr>
          <w:lang w:val="en-GB"/>
        </w:rPr>
        <w:t xml:space="preserve"> </w:t>
      </w:r>
      <w:r w:rsidR="0085149C" w:rsidRPr="0085149C">
        <w:rPr>
          <w:lang w:val="en-GB"/>
        </w:rPr>
        <w:t xml:space="preserve">is then excluded from the </w:t>
      </w:r>
      <w:r w:rsidR="00697AE5" w:rsidRPr="005059CD">
        <w:rPr>
          <w:smallCaps/>
          <w:lang w:val="en-US"/>
        </w:rPr>
        <w:t>Index Universe</w:t>
      </w:r>
      <w:r w:rsidR="0085149C" w:rsidRPr="0085149C">
        <w:rPr>
          <w:lang w:val="en-GB"/>
        </w:rPr>
        <w:t xml:space="preserve">. The </w:t>
      </w:r>
      <w:r w:rsidR="00697AE5" w:rsidRPr="005059CD">
        <w:rPr>
          <w:smallCaps/>
          <w:lang w:val="en-US"/>
        </w:rPr>
        <w:t>ESG Exclusions Index</w:t>
      </w:r>
      <w:r w:rsidR="00697AE5" w:rsidRPr="00697AE5">
        <w:rPr>
          <w:b/>
          <w:bCs/>
          <w:lang w:val="en-GB"/>
        </w:rPr>
        <w:t xml:space="preserve"> </w:t>
      </w:r>
      <w:r w:rsidR="0085149C" w:rsidRPr="0085149C">
        <w:rPr>
          <w:lang w:val="en-GB"/>
        </w:rPr>
        <w:t xml:space="preserve">is reconstituted by </w:t>
      </w:r>
      <w:r w:rsidR="00697AE5" w:rsidRPr="005059CD">
        <w:rPr>
          <w:smallCaps/>
          <w:lang w:val="en-US"/>
        </w:rPr>
        <w:t>Solactive</w:t>
      </w:r>
      <w:r w:rsidR="00697AE5" w:rsidRPr="0085149C">
        <w:rPr>
          <w:lang w:val="en-GB"/>
        </w:rPr>
        <w:t xml:space="preserve"> </w:t>
      </w:r>
      <w:r w:rsidR="0085149C" w:rsidRPr="0085149C">
        <w:rPr>
          <w:lang w:val="en-GB"/>
        </w:rPr>
        <w:t xml:space="preserve">on a semi-annual basis and the methodology by reference to which the </w:t>
      </w:r>
      <w:r w:rsidR="00697AE5" w:rsidRPr="005059CD">
        <w:rPr>
          <w:smallCaps/>
          <w:lang w:val="en-US"/>
        </w:rPr>
        <w:t>ESG Exclusions Index</w:t>
      </w:r>
      <w:r w:rsidR="00697AE5" w:rsidRPr="00697AE5">
        <w:rPr>
          <w:b/>
          <w:bCs/>
          <w:lang w:val="en-GB"/>
        </w:rPr>
        <w:t xml:space="preserve"> </w:t>
      </w:r>
      <w:r w:rsidR="0085149C" w:rsidRPr="0085149C">
        <w:rPr>
          <w:lang w:val="en-GB"/>
        </w:rPr>
        <w:t>is constructed, together with the most recent applicable categories and inclusion criteria, is available on the following website:</w:t>
      </w:r>
    </w:p>
    <w:p w14:paraId="46CD81BE" w14:textId="39874F47" w:rsidR="009463D8" w:rsidRDefault="00E01259" w:rsidP="007F3410">
      <w:pPr>
        <w:spacing w:before="0" w:after="160" w:line="259" w:lineRule="auto"/>
        <w:rPr>
          <w:lang w:val="en-GB"/>
        </w:rPr>
      </w:pPr>
      <w:hyperlink r:id="rId12" w:history="1">
        <w:r w:rsidR="009463D8" w:rsidRPr="00C82F94">
          <w:rPr>
            <w:rStyle w:val="Hyperlink"/>
            <w:lang w:val="en-GB"/>
          </w:rPr>
          <w:t>https://solactive.com/downloads/Guideline-Solactive-ESG-Exclusions-Index.pdf</w:t>
        </w:r>
      </w:hyperlink>
    </w:p>
    <w:p w14:paraId="79D77D46" w14:textId="77777777" w:rsidR="009463D8" w:rsidRPr="0085149C" w:rsidRDefault="009463D8" w:rsidP="007F3410">
      <w:pPr>
        <w:spacing w:before="0" w:after="160" w:line="259" w:lineRule="auto"/>
        <w:rPr>
          <w:lang w:val="en-GB"/>
        </w:rPr>
      </w:pPr>
    </w:p>
    <w:p w14:paraId="7EA8D9E6" w14:textId="00B29115" w:rsidR="00A73332" w:rsidRDefault="00A73332" w:rsidP="0085149C">
      <w:pPr>
        <w:spacing w:before="0" w:after="160" w:line="259" w:lineRule="auto"/>
        <w:jc w:val="left"/>
        <w:rPr>
          <w:lang w:val="en-GB"/>
        </w:rPr>
      </w:pPr>
      <w:r w:rsidRPr="00A73332">
        <w:rPr>
          <w:lang w:val="en-GB"/>
        </w:rPr>
        <w:t xml:space="preserve">The applicable categories and inclusion criteria of the </w:t>
      </w:r>
      <w:r w:rsidR="00697AE5" w:rsidRPr="005059CD">
        <w:rPr>
          <w:smallCaps/>
          <w:lang w:val="en-US"/>
        </w:rPr>
        <w:t>ESG Exclusions Index</w:t>
      </w:r>
      <w:r w:rsidR="00697AE5" w:rsidRPr="00697AE5">
        <w:rPr>
          <w:b/>
          <w:bCs/>
          <w:lang w:val="en-GB"/>
        </w:rPr>
        <w:t xml:space="preserve"> </w:t>
      </w:r>
      <w:r w:rsidRPr="00A73332">
        <w:rPr>
          <w:lang w:val="en-GB"/>
        </w:rPr>
        <w:t xml:space="preserve">as of </w:t>
      </w:r>
      <w:r w:rsidR="007F3410" w:rsidRPr="00697AE5">
        <w:rPr>
          <w:lang w:val="en-GB"/>
        </w:rPr>
        <w:t>03</w:t>
      </w:r>
      <w:r w:rsidRPr="00A73332">
        <w:rPr>
          <w:lang w:val="en-GB"/>
        </w:rPr>
        <w:t xml:space="preserve"> </w:t>
      </w:r>
      <w:r w:rsidR="007F3410">
        <w:rPr>
          <w:lang w:val="en-GB"/>
        </w:rPr>
        <w:t>March</w:t>
      </w:r>
      <w:r w:rsidR="007F3410" w:rsidRPr="00A73332">
        <w:rPr>
          <w:lang w:val="en-GB"/>
        </w:rPr>
        <w:t xml:space="preserve"> </w:t>
      </w:r>
      <w:r w:rsidRPr="00A73332">
        <w:rPr>
          <w:lang w:val="en-GB"/>
        </w:rPr>
        <w:t xml:space="preserve">2022 are set out in </w:t>
      </w:r>
      <w:r w:rsidR="009463D8" w:rsidRPr="005059CD">
        <w:rPr>
          <w:smallCaps/>
          <w:lang w:val="en-US"/>
        </w:rPr>
        <w:t>Annex B</w:t>
      </w:r>
      <w:r w:rsidR="009463D8">
        <w:rPr>
          <w:lang w:val="en-GB"/>
        </w:rPr>
        <w:t xml:space="preserve"> o</w:t>
      </w:r>
      <w:r w:rsidRPr="00A73332">
        <w:rPr>
          <w:lang w:val="en-GB"/>
        </w:rPr>
        <w:t>f this document.</w:t>
      </w:r>
    </w:p>
    <w:p w14:paraId="37299FCC" w14:textId="77777777" w:rsidR="00DD3AB4" w:rsidRDefault="00DD3AB4" w:rsidP="0085149C">
      <w:pPr>
        <w:spacing w:before="0" w:after="160" w:line="259" w:lineRule="auto"/>
        <w:jc w:val="left"/>
        <w:rPr>
          <w:lang w:val="en-GB"/>
        </w:rPr>
      </w:pPr>
    </w:p>
    <w:p w14:paraId="432EE4FB" w14:textId="59B87C31" w:rsidR="00D75ED2" w:rsidRPr="007F3410" w:rsidRDefault="00ED69C9" w:rsidP="007F3410">
      <w:pPr>
        <w:spacing w:before="0" w:after="160" w:line="259" w:lineRule="auto"/>
        <w:jc w:val="left"/>
        <w:rPr>
          <w:b/>
          <w:bCs/>
          <w:lang w:val="en-DE"/>
        </w:rPr>
      </w:pPr>
      <w:r w:rsidRPr="00ED69C9">
        <w:rPr>
          <w:b/>
          <w:bCs/>
          <w:lang w:val="en-GB"/>
        </w:rPr>
        <w:t>Section 2.2</w:t>
      </w:r>
      <w:r w:rsidR="00485D84">
        <w:rPr>
          <w:b/>
          <w:bCs/>
          <w:lang w:val="en-GB"/>
        </w:rPr>
        <w:t>:</w:t>
      </w:r>
      <w:r w:rsidR="00D75ED2">
        <w:rPr>
          <w:b/>
          <w:bCs/>
          <w:lang w:val="en-DE"/>
        </w:rPr>
        <w:t xml:space="preserve"> </w:t>
      </w:r>
      <w:bookmarkStart w:id="2" w:name="_Toc93501481"/>
      <w:r w:rsidR="00D75ED2" w:rsidRPr="007F3410">
        <w:rPr>
          <w:b/>
          <w:bCs/>
          <w:lang w:val="en-US" w:eastAsia="en-US"/>
        </w:rPr>
        <w:t>Selection of the Index Components</w:t>
      </w:r>
      <w:bookmarkEnd w:id="2"/>
    </w:p>
    <w:p w14:paraId="42A8075A" w14:textId="77777777" w:rsidR="00D75ED2" w:rsidRPr="007F3410" w:rsidRDefault="00D75ED2" w:rsidP="0085149C">
      <w:pPr>
        <w:spacing w:before="0" w:after="160" w:line="259" w:lineRule="auto"/>
        <w:jc w:val="left"/>
        <w:rPr>
          <w:b/>
          <w:bCs/>
          <w:lang w:val="en-DE"/>
        </w:rPr>
      </w:pPr>
    </w:p>
    <w:p w14:paraId="2F4F23F9" w14:textId="068C6C0C" w:rsidR="00ED69C9" w:rsidRPr="00ED69C9" w:rsidRDefault="00ED69C9" w:rsidP="0085149C">
      <w:pPr>
        <w:spacing w:before="0" w:after="160" w:line="259" w:lineRule="auto"/>
        <w:jc w:val="left"/>
        <w:rPr>
          <w:lang w:val="en-GB"/>
        </w:rPr>
      </w:pPr>
      <w:r w:rsidRPr="00ED69C9">
        <w:rPr>
          <w:lang w:val="en-GB"/>
        </w:rPr>
        <w:t>From:</w:t>
      </w:r>
    </w:p>
    <w:p w14:paraId="142862E2" w14:textId="77777777" w:rsidR="006421F5" w:rsidRDefault="006421F5" w:rsidP="006421F5">
      <w:pPr>
        <w:spacing w:before="0" w:after="160" w:line="259" w:lineRule="auto"/>
        <w:jc w:val="left"/>
        <w:rPr>
          <w:lang w:val="en-GB"/>
        </w:rPr>
      </w:pPr>
      <w:r>
        <w:rPr>
          <w:lang w:val="en-GB"/>
        </w:rPr>
        <w:t xml:space="preserve">[…] </w:t>
      </w:r>
    </w:p>
    <w:p w14:paraId="4109EDF6" w14:textId="2586B606" w:rsidR="00ED69C9" w:rsidRPr="00ED69C9" w:rsidRDefault="00ED69C9" w:rsidP="00ED69C9">
      <w:pPr>
        <w:spacing w:before="0" w:after="160" w:line="259" w:lineRule="auto"/>
        <w:jc w:val="left"/>
        <w:rPr>
          <w:lang w:val="en-US"/>
        </w:rPr>
      </w:pPr>
      <w:r w:rsidRPr="00ED69C9">
        <w:rPr>
          <w:lang w:val="en-US"/>
        </w:rPr>
        <w:t xml:space="preserve">Finally, companies that are classified as a </w:t>
      </w:r>
      <w:r w:rsidR="009463D8" w:rsidRPr="005059CD">
        <w:rPr>
          <w:smallCaps/>
          <w:lang w:val="en-US"/>
        </w:rPr>
        <w:t>Hydrogen Producer</w:t>
      </w:r>
      <w:r w:rsidR="009463D8" w:rsidRPr="00ED69C9">
        <w:rPr>
          <w:lang w:val="en-US"/>
        </w:rPr>
        <w:t xml:space="preserve"> </w:t>
      </w:r>
      <w:r w:rsidRPr="00ED69C9">
        <w:rPr>
          <w:lang w:val="en-US"/>
        </w:rPr>
        <w:t xml:space="preserve">or an </w:t>
      </w:r>
      <w:r w:rsidR="009463D8" w:rsidRPr="005059CD">
        <w:rPr>
          <w:smallCaps/>
          <w:lang w:val="en-US"/>
        </w:rPr>
        <w:t>Industrial Technology Provider</w:t>
      </w:r>
      <w:r w:rsidR="009463D8" w:rsidRPr="00ED69C9">
        <w:rPr>
          <w:lang w:val="en-US"/>
        </w:rPr>
        <w:t xml:space="preserve"> </w:t>
      </w:r>
      <w:r w:rsidRPr="00ED69C9">
        <w:rPr>
          <w:lang w:val="en-US"/>
        </w:rPr>
        <w:t xml:space="preserve">and are deriving more than or equal to 10% of their revenues from </w:t>
      </w:r>
      <w:r w:rsidR="009463D8" w:rsidRPr="005059CD">
        <w:rPr>
          <w:smallCaps/>
          <w:lang w:val="en-US"/>
        </w:rPr>
        <w:t>Thermal Coal Power Generation</w:t>
      </w:r>
      <w:r w:rsidR="009463D8" w:rsidRPr="00ED69C9">
        <w:rPr>
          <w:lang w:val="en-US"/>
        </w:rPr>
        <w:t xml:space="preserve"> </w:t>
      </w:r>
      <w:r w:rsidRPr="00ED69C9">
        <w:rPr>
          <w:lang w:val="en-US"/>
        </w:rPr>
        <w:t xml:space="preserve">are excluded; and if such company is an existing </w:t>
      </w:r>
      <w:r w:rsidR="009463D8" w:rsidRPr="005059CD">
        <w:rPr>
          <w:smallCaps/>
          <w:lang w:val="en-US"/>
        </w:rPr>
        <w:t>Index Component</w:t>
      </w:r>
      <w:r w:rsidR="009463D8" w:rsidRPr="00ED69C9">
        <w:rPr>
          <w:lang w:val="en-US"/>
        </w:rPr>
        <w:t xml:space="preserve"> </w:t>
      </w:r>
      <w:r w:rsidRPr="00ED69C9">
        <w:rPr>
          <w:lang w:val="en-US"/>
        </w:rPr>
        <w:t xml:space="preserve">then such </w:t>
      </w:r>
      <w:r w:rsidR="009463D8" w:rsidRPr="005059CD">
        <w:rPr>
          <w:smallCaps/>
          <w:lang w:val="en-US"/>
        </w:rPr>
        <w:t>Index Component</w:t>
      </w:r>
      <w:r w:rsidRPr="00ED69C9">
        <w:rPr>
          <w:lang w:val="en-US"/>
        </w:rPr>
        <w:t xml:space="preserve"> shall be excluded if it derives more than or equal to 15% of its revenues from </w:t>
      </w:r>
      <w:r w:rsidR="009463D8" w:rsidRPr="005059CD">
        <w:rPr>
          <w:smallCaps/>
          <w:lang w:val="en-US"/>
        </w:rPr>
        <w:t>Thermal Coal Power Generation</w:t>
      </w:r>
      <w:r w:rsidRPr="00ED69C9">
        <w:rPr>
          <w:lang w:val="en-US"/>
        </w:rPr>
        <w:t xml:space="preserve">. The data is provided by the </w:t>
      </w:r>
      <w:r w:rsidR="009463D8" w:rsidRPr="005059CD">
        <w:rPr>
          <w:smallCaps/>
          <w:lang w:val="en-US"/>
        </w:rPr>
        <w:t xml:space="preserve">Data Provider </w:t>
      </w:r>
      <w:r w:rsidR="005059CD">
        <w:rPr>
          <w:smallCaps/>
          <w:lang w:val="en-US"/>
        </w:rPr>
        <w:t>II</w:t>
      </w:r>
      <w:r w:rsidRPr="00ED69C9">
        <w:rPr>
          <w:lang w:val="en-US"/>
        </w:rPr>
        <w:t>.</w:t>
      </w:r>
    </w:p>
    <w:p w14:paraId="2948F3BB" w14:textId="7183830F" w:rsidR="00ED69C9" w:rsidRDefault="00ED69C9" w:rsidP="00ED69C9">
      <w:pPr>
        <w:spacing w:before="0" w:after="160" w:line="259" w:lineRule="auto"/>
        <w:jc w:val="left"/>
        <w:rPr>
          <w:lang w:val="en-US"/>
        </w:rPr>
      </w:pPr>
      <w:r w:rsidRPr="00ED69C9">
        <w:rPr>
          <w:lang w:val="en-US"/>
        </w:rPr>
        <w:t xml:space="preserve">The selection of the </w:t>
      </w:r>
      <w:r w:rsidR="00697AE5" w:rsidRPr="005059CD">
        <w:rPr>
          <w:smallCaps/>
          <w:lang w:val="en-US"/>
        </w:rPr>
        <w:t>Index</w:t>
      </w:r>
      <w:r w:rsidR="00697AE5" w:rsidRPr="00A327AE">
        <w:rPr>
          <w:rFonts w:ascii="Flama Semicondensed Medium" w:hAnsi="Flama Semicondensed Medium"/>
          <w:smallCaps/>
          <w:lang w:val="en-US"/>
        </w:rPr>
        <w:t xml:space="preserve"> </w:t>
      </w:r>
      <w:r w:rsidR="00697AE5" w:rsidRPr="005059CD">
        <w:rPr>
          <w:smallCaps/>
          <w:lang w:val="en-US"/>
        </w:rPr>
        <w:t>Components</w:t>
      </w:r>
      <w:r w:rsidR="00697AE5" w:rsidRPr="00ED69C9">
        <w:rPr>
          <w:lang w:val="en-US"/>
        </w:rPr>
        <w:t xml:space="preserve"> </w:t>
      </w:r>
      <w:r w:rsidRPr="00ED69C9">
        <w:rPr>
          <w:lang w:val="en-US"/>
        </w:rPr>
        <w:t xml:space="preserve">is fully rule-based and the </w:t>
      </w:r>
      <w:r w:rsidR="00BC49CF" w:rsidRPr="005059CD">
        <w:rPr>
          <w:smallCaps/>
          <w:lang w:val="en-US"/>
        </w:rPr>
        <w:t>Index</w:t>
      </w:r>
      <w:r w:rsidR="00BC49CF" w:rsidRPr="00A327AE">
        <w:rPr>
          <w:rFonts w:ascii="Flama Semicondensed Medium" w:hAnsi="Flama Semicondensed Medium"/>
          <w:smallCaps/>
          <w:lang w:val="en-US"/>
        </w:rPr>
        <w:t xml:space="preserve"> </w:t>
      </w:r>
      <w:r w:rsidR="00BC49CF" w:rsidRPr="005059CD">
        <w:rPr>
          <w:smallCaps/>
          <w:lang w:val="en-US"/>
        </w:rPr>
        <w:t>Administrator</w:t>
      </w:r>
      <w:r w:rsidR="00BC49CF" w:rsidRPr="00ED69C9">
        <w:rPr>
          <w:lang w:val="en-US"/>
        </w:rPr>
        <w:t xml:space="preserve"> </w:t>
      </w:r>
      <w:r w:rsidRPr="00ED69C9">
        <w:rPr>
          <w:lang w:val="en-US"/>
        </w:rPr>
        <w:t>cannot make any discretionary decisions.</w:t>
      </w:r>
    </w:p>
    <w:p w14:paraId="7B89C3ED" w14:textId="6F2E59A6" w:rsidR="00ED69C9" w:rsidRDefault="00ED69C9" w:rsidP="00ED69C9">
      <w:pPr>
        <w:spacing w:before="0" w:after="160" w:line="259" w:lineRule="auto"/>
        <w:jc w:val="left"/>
        <w:rPr>
          <w:lang w:val="en-US"/>
        </w:rPr>
      </w:pPr>
    </w:p>
    <w:p w14:paraId="60322D90" w14:textId="42CC7C8F" w:rsidR="00ED69C9" w:rsidRDefault="00ED69C9" w:rsidP="00ED69C9">
      <w:pPr>
        <w:spacing w:before="0" w:after="160" w:line="259" w:lineRule="auto"/>
        <w:jc w:val="left"/>
        <w:rPr>
          <w:b/>
          <w:bCs/>
          <w:u w:val="single"/>
          <w:lang w:val="en-US"/>
        </w:rPr>
      </w:pPr>
      <w:r w:rsidRPr="00ED69C9">
        <w:rPr>
          <w:b/>
          <w:bCs/>
          <w:u w:val="single"/>
          <w:lang w:val="en-US"/>
        </w:rPr>
        <w:lastRenderedPageBreak/>
        <w:t>To:</w:t>
      </w:r>
    </w:p>
    <w:p w14:paraId="6C662B80" w14:textId="77777777" w:rsidR="006421F5" w:rsidRDefault="006421F5" w:rsidP="006421F5">
      <w:pPr>
        <w:spacing w:before="0" w:after="160" w:line="259" w:lineRule="auto"/>
        <w:jc w:val="left"/>
        <w:rPr>
          <w:lang w:val="en-GB"/>
        </w:rPr>
      </w:pPr>
      <w:r>
        <w:rPr>
          <w:lang w:val="en-GB"/>
        </w:rPr>
        <w:t xml:space="preserve">[…] </w:t>
      </w:r>
    </w:p>
    <w:p w14:paraId="5E6B2BBD" w14:textId="03E7157B" w:rsidR="00697AE5" w:rsidRPr="00ED69C9" w:rsidRDefault="00697AE5" w:rsidP="00697AE5">
      <w:pPr>
        <w:spacing w:before="0" w:after="160" w:line="259" w:lineRule="auto"/>
        <w:jc w:val="left"/>
        <w:rPr>
          <w:lang w:val="en-US"/>
        </w:rPr>
      </w:pPr>
      <w:r w:rsidRPr="00ED69C9">
        <w:rPr>
          <w:lang w:val="en-US"/>
        </w:rPr>
        <w:t xml:space="preserve">Finally, companies that are classified as a </w:t>
      </w:r>
      <w:r w:rsidRPr="005059CD">
        <w:rPr>
          <w:smallCaps/>
          <w:lang w:val="en-US"/>
        </w:rPr>
        <w:t>Hydrogen</w:t>
      </w:r>
      <w:r>
        <w:rPr>
          <w:rFonts w:ascii="Flama Semicondensed Medium" w:hAnsi="Flama Semicondensed Medium"/>
          <w:smallCaps/>
          <w:lang w:val="en-US"/>
        </w:rPr>
        <w:t xml:space="preserve"> </w:t>
      </w:r>
      <w:r w:rsidRPr="005059CD">
        <w:rPr>
          <w:smallCaps/>
          <w:lang w:val="en-US"/>
        </w:rPr>
        <w:t>Producer</w:t>
      </w:r>
      <w:r w:rsidRPr="00ED69C9">
        <w:rPr>
          <w:lang w:val="en-US"/>
        </w:rPr>
        <w:t xml:space="preserve"> or an </w:t>
      </w:r>
      <w:r w:rsidRPr="005059CD">
        <w:rPr>
          <w:smallCaps/>
          <w:lang w:val="en-US"/>
        </w:rPr>
        <w:t>Industrial</w:t>
      </w:r>
      <w:r>
        <w:rPr>
          <w:rFonts w:ascii="Flama Semicondensed Medium" w:hAnsi="Flama Semicondensed Medium"/>
          <w:smallCaps/>
          <w:lang w:val="en-US"/>
        </w:rPr>
        <w:t xml:space="preserve"> </w:t>
      </w:r>
      <w:r w:rsidRPr="005059CD">
        <w:rPr>
          <w:smallCaps/>
          <w:lang w:val="en-US"/>
        </w:rPr>
        <w:t>Technology</w:t>
      </w:r>
      <w:r>
        <w:rPr>
          <w:rFonts w:ascii="Flama Semicondensed Medium" w:hAnsi="Flama Semicondensed Medium"/>
          <w:smallCaps/>
          <w:lang w:val="en-US"/>
        </w:rPr>
        <w:t xml:space="preserve"> </w:t>
      </w:r>
      <w:r w:rsidRPr="005059CD">
        <w:rPr>
          <w:smallCaps/>
          <w:lang w:val="en-US"/>
        </w:rPr>
        <w:t>Provider</w:t>
      </w:r>
      <w:r w:rsidRPr="00ED69C9">
        <w:rPr>
          <w:lang w:val="en-US"/>
        </w:rPr>
        <w:t xml:space="preserve"> and are deriving more than or equal to </w:t>
      </w:r>
      <w:r>
        <w:rPr>
          <w:lang w:val="en-US"/>
        </w:rPr>
        <w:t>5</w:t>
      </w:r>
      <w:r w:rsidRPr="00ED69C9">
        <w:rPr>
          <w:lang w:val="en-US"/>
        </w:rPr>
        <w:t xml:space="preserve">% of their revenues from </w:t>
      </w:r>
      <w:r w:rsidRPr="005059CD">
        <w:rPr>
          <w:smallCaps/>
          <w:lang w:val="en-US"/>
        </w:rPr>
        <w:t>Thermal</w:t>
      </w:r>
      <w:r w:rsidRPr="0090748C">
        <w:rPr>
          <w:rFonts w:ascii="Flama Semicondensed Medium" w:hAnsi="Flama Semicondensed Medium"/>
          <w:smallCaps/>
          <w:lang w:val="en-US"/>
        </w:rPr>
        <w:t xml:space="preserve"> </w:t>
      </w:r>
      <w:r w:rsidRPr="005059CD">
        <w:rPr>
          <w:smallCaps/>
          <w:lang w:val="en-US"/>
        </w:rPr>
        <w:t>Coal</w:t>
      </w:r>
      <w:r w:rsidRPr="0090748C">
        <w:rPr>
          <w:rFonts w:ascii="Flama Semicondensed Medium" w:hAnsi="Flama Semicondensed Medium"/>
          <w:smallCaps/>
          <w:lang w:val="en-US"/>
        </w:rPr>
        <w:t xml:space="preserve"> </w:t>
      </w:r>
      <w:r w:rsidRPr="005059CD">
        <w:rPr>
          <w:smallCaps/>
          <w:lang w:val="en-US"/>
        </w:rPr>
        <w:t>Power</w:t>
      </w:r>
      <w:r w:rsidRPr="0090748C">
        <w:rPr>
          <w:rFonts w:ascii="Flama Semicondensed Medium" w:hAnsi="Flama Semicondensed Medium"/>
          <w:smallCaps/>
          <w:lang w:val="en-US"/>
        </w:rPr>
        <w:t xml:space="preserve"> </w:t>
      </w:r>
      <w:r w:rsidRPr="005059CD">
        <w:rPr>
          <w:smallCaps/>
          <w:lang w:val="en-US"/>
        </w:rPr>
        <w:t>Generation</w:t>
      </w:r>
      <w:r w:rsidRPr="00ED69C9">
        <w:rPr>
          <w:lang w:val="en-US"/>
        </w:rPr>
        <w:t xml:space="preserve"> are excluded; and if such company is an existing </w:t>
      </w:r>
      <w:r w:rsidRPr="005059CD">
        <w:rPr>
          <w:smallCaps/>
          <w:lang w:val="en-US"/>
        </w:rPr>
        <w:t>Index</w:t>
      </w:r>
      <w:r w:rsidRPr="00A327AE">
        <w:rPr>
          <w:rFonts w:ascii="Flama Semicondensed Medium" w:hAnsi="Flama Semicondensed Medium"/>
          <w:smallCaps/>
          <w:lang w:val="en-US"/>
        </w:rPr>
        <w:t xml:space="preserve"> </w:t>
      </w:r>
      <w:r w:rsidRPr="005059CD">
        <w:rPr>
          <w:smallCaps/>
          <w:lang w:val="en-US"/>
        </w:rPr>
        <w:t>Component</w:t>
      </w:r>
      <w:r w:rsidRPr="00ED69C9">
        <w:rPr>
          <w:lang w:val="en-US"/>
        </w:rPr>
        <w:t xml:space="preserve"> then such </w:t>
      </w:r>
      <w:r w:rsidRPr="005059CD">
        <w:rPr>
          <w:smallCaps/>
          <w:lang w:val="en-US"/>
        </w:rPr>
        <w:t>Index</w:t>
      </w:r>
      <w:r w:rsidRPr="00A327AE">
        <w:rPr>
          <w:rFonts w:ascii="Flama Semicondensed Medium" w:hAnsi="Flama Semicondensed Medium"/>
          <w:smallCaps/>
          <w:lang w:val="en-US"/>
        </w:rPr>
        <w:t xml:space="preserve"> </w:t>
      </w:r>
      <w:r w:rsidRPr="005059CD">
        <w:rPr>
          <w:smallCaps/>
          <w:lang w:val="en-US"/>
        </w:rPr>
        <w:t>Component</w:t>
      </w:r>
      <w:r w:rsidRPr="00ED69C9">
        <w:rPr>
          <w:lang w:val="en-US"/>
        </w:rPr>
        <w:t xml:space="preserve"> shall be excluded if it derives more than or equal to 1</w:t>
      </w:r>
      <w:r>
        <w:rPr>
          <w:lang w:val="en-US"/>
        </w:rPr>
        <w:t>0</w:t>
      </w:r>
      <w:r w:rsidRPr="00ED69C9">
        <w:rPr>
          <w:lang w:val="en-US"/>
        </w:rPr>
        <w:t xml:space="preserve">% of its revenues from </w:t>
      </w:r>
      <w:r w:rsidRPr="005059CD">
        <w:rPr>
          <w:smallCaps/>
          <w:lang w:val="en-US"/>
        </w:rPr>
        <w:t>Thermal</w:t>
      </w:r>
      <w:r w:rsidRPr="0090748C">
        <w:rPr>
          <w:rFonts w:ascii="Flama Semicondensed Medium" w:hAnsi="Flama Semicondensed Medium"/>
          <w:smallCaps/>
          <w:lang w:val="en-US"/>
        </w:rPr>
        <w:t xml:space="preserve"> </w:t>
      </w:r>
      <w:r w:rsidRPr="005059CD">
        <w:rPr>
          <w:smallCaps/>
          <w:lang w:val="en-US"/>
        </w:rPr>
        <w:t>Coal</w:t>
      </w:r>
      <w:r w:rsidRPr="0090748C">
        <w:rPr>
          <w:rFonts w:ascii="Flama Semicondensed Medium" w:hAnsi="Flama Semicondensed Medium"/>
          <w:smallCaps/>
          <w:lang w:val="en-US"/>
        </w:rPr>
        <w:t xml:space="preserve"> </w:t>
      </w:r>
      <w:r w:rsidRPr="005059CD">
        <w:rPr>
          <w:smallCaps/>
          <w:lang w:val="en-US"/>
        </w:rPr>
        <w:t>Power</w:t>
      </w:r>
      <w:r w:rsidRPr="0090748C">
        <w:rPr>
          <w:rFonts w:ascii="Flama Semicondensed Medium" w:hAnsi="Flama Semicondensed Medium"/>
          <w:smallCaps/>
          <w:lang w:val="en-US"/>
        </w:rPr>
        <w:t xml:space="preserve"> </w:t>
      </w:r>
      <w:r w:rsidRPr="005059CD">
        <w:rPr>
          <w:smallCaps/>
          <w:lang w:val="en-US"/>
        </w:rPr>
        <w:t>Generation</w:t>
      </w:r>
      <w:r w:rsidRPr="00ED69C9">
        <w:rPr>
          <w:lang w:val="en-US"/>
        </w:rPr>
        <w:t xml:space="preserve">. The data is provided by the </w:t>
      </w:r>
      <w:r w:rsidRPr="005059CD">
        <w:rPr>
          <w:smallCaps/>
          <w:lang w:val="en-US"/>
        </w:rPr>
        <w:t>Data</w:t>
      </w:r>
      <w:r w:rsidRPr="009463D8">
        <w:rPr>
          <w:rFonts w:ascii="Flama Semicondensed Medium" w:hAnsi="Flama Semicondensed Medium"/>
          <w:smallCaps/>
          <w:lang w:val="en-US"/>
        </w:rPr>
        <w:t xml:space="preserve"> </w:t>
      </w:r>
      <w:r w:rsidRPr="005059CD">
        <w:rPr>
          <w:smallCaps/>
          <w:lang w:val="en-US"/>
        </w:rPr>
        <w:t>Provider</w:t>
      </w:r>
      <w:r w:rsidRPr="009463D8">
        <w:rPr>
          <w:rFonts w:ascii="Flama Semicondensed Medium" w:hAnsi="Flama Semicondensed Medium"/>
          <w:smallCaps/>
          <w:lang w:val="en-US"/>
        </w:rPr>
        <w:t xml:space="preserve"> </w:t>
      </w:r>
      <w:r w:rsidR="005059CD">
        <w:rPr>
          <w:smallCaps/>
          <w:lang w:val="en-US"/>
        </w:rPr>
        <w:t>II</w:t>
      </w:r>
      <w:r w:rsidRPr="00ED69C9">
        <w:rPr>
          <w:lang w:val="en-US"/>
        </w:rPr>
        <w:t>.</w:t>
      </w:r>
    </w:p>
    <w:p w14:paraId="5079ED84" w14:textId="0FBCB6F7" w:rsidR="00697AE5" w:rsidRDefault="00697AE5" w:rsidP="00697AE5">
      <w:pPr>
        <w:spacing w:before="0" w:after="160" w:line="259" w:lineRule="auto"/>
        <w:jc w:val="left"/>
        <w:rPr>
          <w:lang w:val="en-US"/>
        </w:rPr>
      </w:pPr>
      <w:r w:rsidRPr="00ED69C9">
        <w:rPr>
          <w:lang w:val="en-US"/>
        </w:rPr>
        <w:t xml:space="preserve">The selection of the </w:t>
      </w:r>
      <w:r w:rsidRPr="005059CD">
        <w:rPr>
          <w:smallCaps/>
          <w:lang w:val="en-US"/>
        </w:rPr>
        <w:t>Index</w:t>
      </w:r>
      <w:r w:rsidRPr="00A327AE">
        <w:rPr>
          <w:rFonts w:ascii="Flama Semicondensed Medium" w:hAnsi="Flama Semicondensed Medium"/>
          <w:smallCaps/>
          <w:lang w:val="en-US"/>
        </w:rPr>
        <w:t xml:space="preserve"> </w:t>
      </w:r>
      <w:r w:rsidRPr="005059CD">
        <w:rPr>
          <w:smallCaps/>
          <w:lang w:val="en-US"/>
        </w:rPr>
        <w:t>Components</w:t>
      </w:r>
      <w:r w:rsidRPr="00ED69C9">
        <w:rPr>
          <w:lang w:val="en-US"/>
        </w:rPr>
        <w:t xml:space="preserve"> is fully rule-based and the </w:t>
      </w:r>
      <w:r w:rsidR="00BC49CF" w:rsidRPr="005059CD">
        <w:rPr>
          <w:smallCaps/>
          <w:lang w:val="en-US"/>
        </w:rPr>
        <w:t>Index</w:t>
      </w:r>
      <w:r w:rsidR="00BC49CF" w:rsidRPr="00BC49CF">
        <w:rPr>
          <w:rFonts w:ascii="Flama Semicondensed Medium" w:hAnsi="Flama Semicondensed Medium"/>
          <w:smallCaps/>
          <w:lang w:val="en-US"/>
        </w:rPr>
        <w:t xml:space="preserve"> </w:t>
      </w:r>
      <w:r w:rsidR="00BC49CF" w:rsidRPr="005059CD">
        <w:rPr>
          <w:smallCaps/>
          <w:lang w:val="en-US"/>
        </w:rPr>
        <w:t>Administrator</w:t>
      </w:r>
      <w:r w:rsidR="00BC49CF" w:rsidRPr="00ED69C9">
        <w:rPr>
          <w:lang w:val="en-US"/>
        </w:rPr>
        <w:t xml:space="preserve"> </w:t>
      </w:r>
      <w:r w:rsidRPr="00ED69C9">
        <w:rPr>
          <w:lang w:val="en-US"/>
        </w:rPr>
        <w:t>cannot make any discretionary decisions.</w:t>
      </w:r>
    </w:p>
    <w:p w14:paraId="38A86551" w14:textId="77777777" w:rsidR="00ED69C9" w:rsidRPr="00ED69C9" w:rsidRDefault="00ED69C9" w:rsidP="00ED69C9">
      <w:pPr>
        <w:spacing w:before="0" w:after="160" w:line="259" w:lineRule="auto"/>
        <w:jc w:val="left"/>
        <w:rPr>
          <w:b/>
          <w:bCs/>
          <w:lang w:val="en-US"/>
        </w:rPr>
      </w:pPr>
    </w:p>
    <w:p w14:paraId="7DF30705" w14:textId="6AEE7983" w:rsidR="00D75ED2" w:rsidRPr="007F3410" w:rsidRDefault="00A73332" w:rsidP="007F3410">
      <w:pPr>
        <w:spacing w:before="0" w:after="160" w:line="259" w:lineRule="auto"/>
        <w:jc w:val="left"/>
        <w:rPr>
          <w:b/>
          <w:bCs/>
          <w:lang w:val="en-GB"/>
        </w:rPr>
      </w:pPr>
      <w:r w:rsidRPr="00A73332">
        <w:rPr>
          <w:b/>
          <w:bCs/>
          <w:lang w:val="en-GB"/>
        </w:rPr>
        <w:t>Section 2.3</w:t>
      </w:r>
      <w:r w:rsidR="00485D84">
        <w:rPr>
          <w:b/>
          <w:bCs/>
          <w:lang w:val="en-GB"/>
        </w:rPr>
        <w:t>:</w:t>
      </w:r>
      <w:r w:rsidR="00D75ED2">
        <w:rPr>
          <w:b/>
          <w:bCs/>
          <w:lang w:val="en-DE"/>
        </w:rPr>
        <w:t xml:space="preserve"> </w:t>
      </w:r>
      <w:bookmarkStart w:id="3" w:name="_Toc93501482"/>
      <w:r w:rsidR="00D75ED2" w:rsidRPr="007F3410">
        <w:rPr>
          <w:b/>
          <w:bCs/>
          <w:lang w:val="en-US" w:eastAsia="en-US"/>
        </w:rPr>
        <w:t>Weighting of the Index Components</w:t>
      </w:r>
      <w:bookmarkEnd w:id="3"/>
    </w:p>
    <w:p w14:paraId="651BFE2E" w14:textId="77777777" w:rsidR="00D75ED2" w:rsidRDefault="00D75ED2" w:rsidP="0085149C">
      <w:pPr>
        <w:spacing w:before="0" w:after="160" w:line="259" w:lineRule="auto"/>
        <w:jc w:val="left"/>
        <w:rPr>
          <w:b/>
          <w:bCs/>
          <w:lang w:val="en-GB"/>
        </w:rPr>
      </w:pPr>
    </w:p>
    <w:p w14:paraId="62A67292" w14:textId="00F16F69" w:rsidR="00A73332" w:rsidRPr="00A73332" w:rsidRDefault="00A73332" w:rsidP="0085149C">
      <w:pPr>
        <w:spacing w:before="0" w:after="160" w:line="259" w:lineRule="auto"/>
        <w:jc w:val="left"/>
        <w:rPr>
          <w:lang w:val="en-GB"/>
        </w:rPr>
      </w:pPr>
      <w:r w:rsidRPr="00A73332">
        <w:rPr>
          <w:lang w:val="en-GB"/>
        </w:rPr>
        <w:t>From:</w:t>
      </w:r>
    </w:p>
    <w:p w14:paraId="1386393C" w14:textId="77777777" w:rsidR="006421F5" w:rsidRDefault="006421F5" w:rsidP="006421F5">
      <w:pPr>
        <w:spacing w:before="0" w:after="160" w:line="259" w:lineRule="auto"/>
        <w:jc w:val="left"/>
        <w:rPr>
          <w:lang w:val="en-GB"/>
        </w:rPr>
      </w:pPr>
      <w:r>
        <w:rPr>
          <w:lang w:val="en-GB"/>
        </w:rPr>
        <w:t xml:space="preserve">[…] </w:t>
      </w:r>
    </w:p>
    <w:p w14:paraId="482FC6AA" w14:textId="39D68450" w:rsidR="00A73332" w:rsidRPr="00A73332" w:rsidRDefault="00A73332" w:rsidP="00A73332">
      <w:pPr>
        <w:spacing w:before="0" w:after="160" w:line="259" w:lineRule="auto"/>
        <w:jc w:val="left"/>
        <w:rPr>
          <w:lang w:val="en-GB"/>
        </w:rPr>
      </w:pPr>
      <w:r w:rsidRPr="00A73332">
        <w:rPr>
          <w:lang w:val="en-GB"/>
        </w:rPr>
        <w:t xml:space="preserve">On each </w:t>
      </w:r>
      <w:r w:rsidR="00D6424F" w:rsidRPr="005059CD">
        <w:rPr>
          <w:smallCaps/>
          <w:lang w:val="en-US" w:eastAsia="en-US"/>
        </w:rPr>
        <w:t>Selection Day</w:t>
      </w:r>
      <w:r w:rsidR="00D6424F" w:rsidRPr="00A73332">
        <w:rPr>
          <w:lang w:val="en-GB"/>
        </w:rPr>
        <w:t xml:space="preserve"> </w:t>
      </w:r>
      <w:r w:rsidRPr="00A73332">
        <w:rPr>
          <w:lang w:val="en-GB"/>
        </w:rPr>
        <w:t xml:space="preserve">each </w:t>
      </w:r>
      <w:r w:rsidR="00D6424F" w:rsidRPr="005059CD">
        <w:rPr>
          <w:smallCaps/>
          <w:lang w:val="en-US" w:eastAsia="en-US"/>
        </w:rPr>
        <w:t>Index</w:t>
      </w:r>
      <w:r w:rsidR="00D6424F" w:rsidRPr="005059CD">
        <w:rPr>
          <w:smallCaps/>
          <w:lang w:val="en-US"/>
        </w:rPr>
        <w:t xml:space="preserve"> </w:t>
      </w:r>
      <w:r w:rsidR="00D6424F" w:rsidRPr="005059CD">
        <w:rPr>
          <w:smallCaps/>
          <w:lang w:val="en-US" w:eastAsia="en-US"/>
        </w:rPr>
        <w:t>Component</w:t>
      </w:r>
      <w:r w:rsidR="00D6424F" w:rsidRPr="00A73332">
        <w:rPr>
          <w:lang w:val="en-GB"/>
        </w:rPr>
        <w:t xml:space="preserve"> </w:t>
      </w:r>
      <w:r w:rsidRPr="00A73332">
        <w:rPr>
          <w:lang w:val="en-GB"/>
        </w:rPr>
        <w:t xml:space="preserve">is weighted in accordance with the following steps: assigned an equal weight such that the total </w:t>
      </w:r>
      <w:r w:rsidR="00D6424F" w:rsidRPr="005059CD">
        <w:rPr>
          <w:smallCaps/>
          <w:lang w:val="en-US" w:eastAsia="en-US"/>
        </w:rPr>
        <w:t>Index</w:t>
      </w:r>
      <w:r w:rsidR="00D6424F" w:rsidRPr="005059CD">
        <w:rPr>
          <w:smallCaps/>
          <w:lang w:val="en-US"/>
        </w:rPr>
        <w:t xml:space="preserve"> </w:t>
      </w:r>
      <w:r w:rsidR="00D6424F" w:rsidRPr="005059CD">
        <w:rPr>
          <w:smallCaps/>
          <w:lang w:val="en-US" w:eastAsia="en-US"/>
        </w:rPr>
        <w:t>Component</w:t>
      </w:r>
      <w:r w:rsidR="00D6424F" w:rsidRPr="00A73332">
        <w:rPr>
          <w:lang w:val="en-GB"/>
        </w:rPr>
        <w:t xml:space="preserve"> </w:t>
      </w:r>
      <w:r w:rsidRPr="00A73332">
        <w:rPr>
          <w:lang w:val="en-GB"/>
        </w:rPr>
        <w:t xml:space="preserve">weight of all </w:t>
      </w:r>
      <w:r w:rsidR="00D6424F" w:rsidRPr="005059CD">
        <w:rPr>
          <w:smallCaps/>
          <w:lang w:val="en-US" w:eastAsia="en-US"/>
        </w:rPr>
        <w:t>Index</w:t>
      </w:r>
      <w:r w:rsidR="00D6424F" w:rsidRPr="005059CD">
        <w:rPr>
          <w:smallCaps/>
          <w:lang w:val="en-US"/>
        </w:rPr>
        <w:t xml:space="preserve"> </w:t>
      </w:r>
      <w:r w:rsidR="00D6424F" w:rsidRPr="005059CD">
        <w:rPr>
          <w:smallCaps/>
          <w:lang w:val="en-US" w:eastAsia="en-US"/>
        </w:rPr>
        <w:t>Component</w:t>
      </w:r>
      <w:r w:rsidR="00D6424F">
        <w:rPr>
          <w:smallCaps/>
          <w:lang w:val="en-US" w:eastAsia="en-US"/>
        </w:rPr>
        <w:t>s</w:t>
      </w:r>
      <w:r w:rsidR="00D6424F" w:rsidRPr="00A73332">
        <w:rPr>
          <w:lang w:val="en-GB"/>
        </w:rPr>
        <w:t xml:space="preserve"> </w:t>
      </w:r>
      <w:r w:rsidRPr="00A73332">
        <w:rPr>
          <w:lang w:val="en-GB"/>
        </w:rPr>
        <w:t xml:space="preserve">is equal to 100%, subject to the following constraints: </w:t>
      </w:r>
    </w:p>
    <w:p w14:paraId="6BE539CD" w14:textId="0CAA1933" w:rsidR="00A73332" w:rsidRPr="00A73332" w:rsidRDefault="00A73332" w:rsidP="00A73332">
      <w:pPr>
        <w:spacing w:before="0" w:after="160" w:line="259" w:lineRule="auto"/>
        <w:jc w:val="left"/>
        <w:rPr>
          <w:lang w:val="en-GB"/>
        </w:rPr>
      </w:pPr>
      <w:r w:rsidRPr="00A73332">
        <w:rPr>
          <w:lang w:val="en-GB"/>
        </w:rPr>
        <w:t>1.</w:t>
      </w:r>
      <w:r w:rsidRPr="00A73332">
        <w:rPr>
          <w:lang w:val="en-GB"/>
        </w:rPr>
        <w:tab/>
        <w:t xml:space="preserve">if the three-month </w:t>
      </w:r>
      <w:r w:rsidR="00D6424F" w:rsidRPr="00D6424F">
        <w:rPr>
          <w:smallCaps/>
          <w:lang w:val="en-US" w:eastAsia="en-US"/>
        </w:rPr>
        <w:t>Average Daily Value Traded</w:t>
      </w:r>
      <w:r w:rsidR="00D6424F" w:rsidRPr="00A73332">
        <w:rPr>
          <w:lang w:val="en-GB"/>
        </w:rPr>
        <w:t xml:space="preserve"> </w:t>
      </w:r>
      <w:r w:rsidRPr="00A73332">
        <w:rPr>
          <w:lang w:val="en-GB"/>
        </w:rPr>
        <w:t xml:space="preserve">is less than USD 2,000,000, then the </w:t>
      </w:r>
      <w:r w:rsidR="00D6424F" w:rsidRPr="00D6424F">
        <w:rPr>
          <w:smallCaps/>
          <w:lang w:val="en-US" w:eastAsia="en-US"/>
        </w:rPr>
        <w:t>Index Component</w:t>
      </w:r>
      <w:r w:rsidRPr="00A73332">
        <w:rPr>
          <w:lang w:val="en-GB"/>
        </w:rPr>
        <w:t xml:space="preserve"> Weight of such </w:t>
      </w:r>
      <w:r w:rsidR="00D6424F" w:rsidRPr="00D6424F">
        <w:rPr>
          <w:smallCaps/>
          <w:lang w:val="en-US" w:eastAsia="en-US"/>
        </w:rPr>
        <w:t>Index Component</w:t>
      </w:r>
      <w:r w:rsidR="00D6424F" w:rsidRPr="00A73332">
        <w:rPr>
          <w:lang w:val="en-GB"/>
        </w:rPr>
        <w:t xml:space="preserve"> </w:t>
      </w:r>
      <w:r w:rsidRPr="00A73332">
        <w:rPr>
          <w:lang w:val="en-GB"/>
        </w:rPr>
        <w:t xml:space="preserve">shall be capped at 1% provided the initial weight is greater than 1%; </w:t>
      </w:r>
    </w:p>
    <w:p w14:paraId="53E769B4" w14:textId="43810D69" w:rsidR="00A73332" w:rsidRPr="00A73332" w:rsidRDefault="00A73332" w:rsidP="00A73332">
      <w:pPr>
        <w:spacing w:before="0" w:after="160" w:line="259" w:lineRule="auto"/>
        <w:jc w:val="left"/>
        <w:rPr>
          <w:lang w:val="en-GB"/>
        </w:rPr>
      </w:pPr>
      <w:r w:rsidRPr="00A73332">
        <w:rPr>
          <w:lang w:val="en-GB"/>
        </w:rPr>
        <w:t>2.</w:t>
      </w:r>
      <w:r w:rsidRPr="00A73332">
        <w:rPr>
          <w:lang w:val="en-GB"/>
        </w:rPr>
        <w:tab/>
        <w:t xml:space="preserve">if the three-month </w:t>
      </w:r>
      <w:r w:rsidR="00D6424F" w:rsidRPr="00D6424F">
        <w:rPr>
          <w:smallCaps/>
          <w:lang w:val="en-US" w:eastAsia="en-US"/>
        </w:rPr>
        <w:t>Average Daily Value Traded</w:t>
      </w:r>
      <w:r w:rsidR="00D6424F" w:rsidRPr="00A73332">
        <w:rPr>
          <w:lang w:val="en-GB"/>
        </w:rPr>
        <w:t xml:space="preserve"> </w:t>
      </w:r>
      <w:r w:rsidRPr="00A73332">
        <w:rPr>
          <w:lang w:val="en-GB"/>
        </w:rPr>
        <w:t xml:space="preserve">is less than USD 3,000,000 but greater than or equal to USD 2,000,000, then the </w:t>
      </w:r>
      <w:r w:rsidR="00D6424F" w:rsidRPr="00D6424F">
        <w:rPr>
          <w:smallCaps/>
          <w:lang w:val="en-US" w:eastAsia="en-US"/>
        </w:rPr>
        <w:t>Index Component</w:t>
      </w:r>
      <w:r w:rsidR="00D6424F" w:rsidRPr="00A73332">
        <w:rPr>
          <w:lang w:val="en-GB"/>
        </w:rPr>
        <w:t xml:space="preserve"> </w:t>
      </w:r>
      <w:r w:rsidRPr="00A73332">
        <w:rPr>
          <w:lang w:val="en-GB"/>
        </w:rPr>
        <w:t xml:space="preserve">Weight of such </w:t>
      </w:r>
      <w:r w:rsidR="00D6424F" w:rsidRPr="00D6424F">
        <w:rPr>
          <w:smallCaps/>
          <w:lang w:val="en-US" w:eastAsia="en-US"/>
        </w:rPr>
        <w:t>Index Component</w:t>
      </w:r>
      <w:r w:rsidR="00D6424F" w:rsidRPr="00A73332">
        <w:rPr>
          <w:lang w:val="en-GB"/>
        </w:rPr>
        <w:t xml:space="preserve"> </w:t>
      </w:r>
      <w:r w:rsidRPr="00A73332">
        <w:rPr>
          <w:lang w:val="en-GB"/>
        </w:rPr>
        <w:t xml:space="preserve">shall be capped at 2% provided the initial weight is greater than 2%; and </w:t>
      </w:r>
    </w:p>
    <w:p w14:paraId="6FCEFE85" w14:textId="3511BDB6" w:rsidR="00A73332" w:rsidRPr="00A73332" w:rsidRDefault="00A73332" w:rsidP="00A73332">
      <w:pPr>
        <w:spacing w:before="0" w:after="160" w:line="259" w:lineRule="auto"/>
        <w:jc w:val="left"/>
        <w:rPr>
          <w:lang w:val="en-GB"/>
        </w:rPr>
      </w:pPr>
      <w:r w:rsidRPr="00A73332">
        <w:rPr>
          <w:lang w:val="en-GB"/>
        </w:rPr>
        <w:t>3.</w:t>
      </w:r>
      <w:r w:rsidRPr="00A73332">
        <w:rPr>
          <w:lang w:val="en-GB"/>
        </w:rPr>
        <w:tab/>
        <w:t xml:space="preserve">if the three-month </w:t>
      </w:r>
      <w:r w:rsidR="00D6424F" w:rsidRPr="00D6424F">
        <w:rPr>
          <w:smallCaps/>
          <w:lang w:val="en-US" w:eastAsia="en-US"/>
        </w:rPr>
        <w:t>Average Daily Value Traded</w:t>
      </w:r>
      <w:r w:rsidR="00D6424F" w:rsidRPr="00A73332">
        <w:rPr>
          <w:lang w:val="en-GB"/>
        </w:rPr>
        <w:t xml:space="preserve"> </w:t>
      </w:r>
      <w:r w:rsidRPr="00A73332">
        <w:rPr>
          <w:lang w:val="en-GB"/>
        </w:rPr>
        <w:t xml:space="preserve">is less than USD 4,000,000 but greater than or equal to USD 3,000,000, then the </w:t>
      </w:r>
      <w:r w:rsidR="00D6424F" w:rsidRPr="00D6424F">
        <w:rPr>
          <w:smallCaps/>
          <w:lang w:val="en-US" w:eastAsia="en-US"/>
        </w:rPr>
        <w:t>Index Component</w:t>
      </w:r>
      <w:r w:rsidR="00D6424F" w:rsidRPr="00A73332">
        <w:rPr>
          <w:lang w:val="en-GB"/>
        </w:rPr>
        <w:t xml:space="preserve"> </w:t>
      </w:r>
      <w:r w:rsidRPr="00A73332">
        <w:rPr>
          <w:lang w:val="en-GB"/>
        </w:rPr>
        <w:t xml:space="preserve">Weight of such </w:t>
      </w:r>
      <w:r w:rsidR="00D6424F" w:rsidRPr="00D6424F">
        <w:rPr>
          <w:smallCaps/>
          <w:lang w:val="en-US" w:eastAsia="en-US"/>
        </w:rPr>
        <w:t>Index Component</w:t>
      </w:r>
      <w:r w:rsidR="00D6424F" w:rsidRPr="00A73332">
        <w:rPr>
          <w:lang w:val="en-GB"/>
        </w:rPr>
        <w:t xml:space="preserve"> </w:t>
      </w:r>
      <w:r w:rsidRPr="00A73332">
        <w:rPr>
          <w:lang w:val="en-GB"/>
        </w:rPr>
        <w:t xml:space="preserve">shall be capped at 3% provided the initial weight is greater than 3%. </w:t>
      </w:r>
    </w:p>
    <w:p w14:paraId="494BB715" w14:textId="58A3FF5F" w:rsidR="00A73332" w:rsidRDefault="00A73332" w:rsidP="00A73332">
      <w:pPr>
        <w:spacing w:before="0" w:after="160" w:line="259" w:lineRule="auto"/>
        <w:jc w:val="left"/>
        <w:rPr>
          <w:lang w:val="en-GB"/>
        </w:rPr>
      </w:pPr>
      <w:r w:rsidRPr="00A73332">
        <w:rPr>
          <w:lang w:val="en-GB"/>
        </w:rPr>
        <w:t xml:space="preserve">Any residual weight that arises from capping the </w:t>
      </w:r>
      <w:r w:rsidR="00D6424F" w:rsidRPr="00D6424F">
        <w:rPr>
          <w:smallCaps/>
          <w:lang w:val="en-US" w:eastAsia="en-US"/>
        </w:rPr>
        <w:t>Index Component</w:t>
      </w:r>
      <w:r w:rsidR="00D6424F" w:rsidRPr="00A73332">
        <w:rPr>
          <w:lang w:val="en-GB"/>
        </w:rPr>
        <w:t xml:space="preserve"> </w:t>
      </w:r>
      <w:r w:rsidRPr="00A73332">
        <w:rPr>
          <w:lang w:val="en-GB"/>
        </w:rPr>
        <w:t xml:space="preserve">weights shall be distributed equally to the remaining </w:t>
      </w:r>
      <w:r w:rsidR="00D6424F" w:rsidRPr="00D6424F">
        <w:rPr>
          <w:smallCaps/>
          <w:lang w:val="en-US" w:eastAsia="en-US"/>
        </w:rPr>
        <w:t>Index Component</w:t>
      </w:r>
      <w:r w:rsidR="00D6424F">
        <w:rPr>
          <w:smallCaps/>
          <w:lang w:val="en-US" w:eastAsia="en-US"/>
        </w:rPr>
        <w:t>s</w:t>
      </w:r>
      <w:r w:rsidRPr="00A73332">
        <w:rPr>
          <w:lang w:val="en-GB"/>
        </w:rPr>
        <w:t xml:space="preserve">, subject to the constraints 1 - 3 above. For the avoidance of doubt, </w:t>
      </w:r>
      <w:r w:rsidR="00D6424F" w:rsidRPr="00D6424F">
        <w:rPr>
          <w:smallCaps/>
          <w:lang w:val="en-US" w:eastAsia="en-US"/>
        </w:rPr>
        <w:t>Index Component</w:t>
      </w:r>
      <w:r w:rsidR="00D6424F">
        <w:rPr>
          <w:smallCaps/>
          <w:lang w:val="en-US" w:eastAsia="en-US"/>
        </w:rPr>
        <w:t>s</w:t>
      </w:r>
      <w:r w:rsidR="00D6424F" w:rsidRPr="00A73332">
        <w:rPr>
          <w:lang w:val="en-GB"/>
        </w:rPr>
        <w:t xml:space="preserve"> </w:t>
      </w:r>
      <w:r w:rsidRPr="00A73332">
        <w:rPr>
          <w:lang w:val="en-GB"/>
        </w:rPr>
        <w:t>affected from the aforementioned constraints will be excluded from the weight redistribution if this process increases their weight above the defined weight caps.</w:t>
      </w:r>
    </w:p>
    <w:p w14:paraId="759E15E5" w14:textId="4CBADE76" w:rsidR="00A73332" w:rsidRDefault="00A73332" w:rsidP="00A73332">
      <w:pPr>
        <w:spacing w:before="0" w:after="160" w:line="259" w:lineRule="auto"/>
        <w:jc w:val="left"/>
        <w:rPr>
          <w:lang w:val="en-GB"/>
        </w:rPr>
      </w:pPr>
    </w:p>
    <w:p w14:paraId="366E3ABA" w14:textId="19E21FCF" w:rsidR="006421F5" w:rsidRDefault="00A73332" w:rsidP="00A73332">
      <w:pPr>
        <w:spacing w:before="0" w:after="160" w:line="259" w:lineRule="auto"/>
        <w:jc w:val="left"/>
        <w:rPr>
          <w:b/>
          <w:bCs/>
          <w:u w:val="single"/>
          <w:lang w:val="en-GB"/>
        </w:rPr>
      </w:pPr>
      <w:r w:rsidRPr="00A73332">
        <w:rPr>
          <w:b/>
          <w:bCs/>
          <w:u w:val="single"/>
          <w:lang w:val="en-GB"/>
        </w:rPr>
        <w:t>To</w:t>
      </w:r>
      <w:r w:rsidR="006421F5">
        <w:rPr>
          <w:b/>
          <w:bCs/>
          <w:u w:val="single"/>
          <w:lang w:val="en-GB"/>
        </w:rPr>
        <w:t>:</w:t>
      </w:r>
    </w:p>
    <w:p w14:paraId="5EB42BC4" w14:textId="77777777" w:rsidR="006421F5" w:rsidRDefault="006421F5" w:rsidP="006421F5">
      <w:pPr>
        <w:spacing w:before="0" w:after="160" w:line="259" w:lineRule="auto"/>
        <w:jc w:val="left"/>
        <w:rPr>
          <w:lang w:val="en-GB"/>
        </w:rPr>
      </w:pPr>
      <w:r>
        <w:rPr>
          <w:lang w:val="en-GB"/>
        </w:rPr>
        <w:lastRenderedPageBreak/>
        <w:t xml:space="preserve">[…] </w:t>
      </w:r>
    </w:p>
    <w:p w14:paraId="12EB0F3C" w14:textId="77777777" w:rsidR="006421F5" w:rsidRPr="006421F5" w:rsidRDefault="006421F5" w:rsidP="00A73332">
      <w:pPr>
        <w:spacing w:before="0" w:after="160" w:line="259" w:lineRule="auto"/>
        <w:jc w:val="left"/>
        <w:rPr>
          <w:b/>
          <w:bCs/>
          <w:u w:val="single"/>
          <w:lang w:val="en-GB"/>
        </w:rPr>
      </w:pPr>
    </w:p>
    <w:p w14:paraId="37393D62" w14:textId="77F2FF0C" w:rsidR="00F15782" w:rsidRPr="00F15782" w:rsidRDefault="00E01259" w:rsidP="00F15782">
      <w:pPr>
        <w:numPr>
          <w:ilvl w:val="0"/>
          <w:numId w:val="24"/>
        </w:numPr>
        <w:spacing w:before="0" w:after="160" w:line="259" w:lineRule="auto"/>
        <w:jc w:val="left"/>
        <w:rPr>
          <w:lang w:val="en-US" w:eastAsia="en-US"/>
        </w:rPr>
      </w:pPr>
      <w:bookmarkStart w:id="4" w:name="_Hlk93503560"/>
      <w:r>
        <w:rPr>
          <w:lang w:val="en-US" w:eastAsia="en-US"/>
        </w:rPr>
        <w:t xml:space="preserve">On each </w:t>
      </w:r>
      <w:r w:rsidRPr="005059CD">
        <w:rPr>
          <w:smallCaps/>
          <w:lang w:val="en-US" w:eastAsia="en-US"/>
        </w:rPr>
        <w:t>Selection Day</w:t>
      </w:r>
      <w:r w:rsidRPr="00A73332">
        <w:rPr>
          <w:lang w:val="en-GB"/>
        </w:rPr>
        <w:t xml:space="preserve"> each</w:t>
      </w:r>
      <w:r w:rsidR="00F15782" w:rsidRPr="00F15782">
        <w:rPr>
          <w:lang w:val="en-US" w:eastAsia="en-US"/>
        </w:rPr>
        <w:t xml:space="preserve"> </w:t>
      </w:r>
      <w:r w:rsidRPr="005059CD">
        <w:rPr>
          <w:smallCaps/>
          <w:lang w:val="en-US" w:eastAsia="en-US"/>
        </w:rPr>
        <w:t>Index</w:t>
      </w:r>
      <w:r w:rsidRPr="005059CD">
        <w:rPr>
          <w:smallCaps/>
          <w:lang w:val="en-US"/>
        </w:rPr>
        <w:t xml:space="preserve"> </w:t>
      </w:r>
      <w:r w:rsidRPr="005059CD">
        <w:rPr>
          <w:smallCaps/>
          <w:lang w:val="en-US" w:eastAsia="en-US"/>
        </w:rPr>
        <w:t>Component</w:t>
      </w:r>
      <w:r w:rsidRPr="00A73332">
        <w:rPr>
          <w:lang w:val="en-GB"/>
        </w:rPr>
        <w:t xml:space="preserve"> </w:t>
      </w:r>
      <w:r w:rsidR="00F15782" w:rsidRPr="00F15782">
        <w:rPr>
          <w:lang w:val="en-US" w:eastAsia="en-US"/>
        </w:rPr>
        <w:t xml:space="preserve">is initially weighted equally </w:t>
      </w:r>
      <m:oMath>
        <m:sSubSup>
          <m:sSubSupPr>
            <m:ctrlPr>
              <w:rPr>
                <w:rFonts w:ascii="Cambria Math" w:hAnsi="Cambria Math"/>
                <w:i/>
                <w:lang w:eastAsia="en-US"/>
              </w:rPr>
            </m:ctrlPr>
          </m:sSubSupPr>
          <m:e>
            <m:r>
              <w:rPr>
                <w:rFonts w:ascii="Cambria Math" w:hAnsi="Cambria Math"/>
                <w:lang w:eastAsia="en-US"/>
              </w:rPr>
              <m:t>w</m:t>
            </m:r>
          </m:e>
          <m:sub>
            <m:r>
              <w:rPr>
                <w:rFonts w:ascii="Cambria Math" w:hAnsi="Cambria Math"/>
                <w:lang w:eastAsia="en-US"/>
              </w:rPr>
              <m:t>i</m:t>
            </m:r>
          </m:sub>
          <m:sup>
            <m:r>
              <w:rPr>
                <w:rFonts w:ascii="Cambria Math" w:hAnsi="Cambria Math"/>
                <w:lang w:val="en-GB" w:eastAsia="en-US"/>
              </w:rPr>
              <m:t>*</m:t>
            </m:r>
          </m:sup>
        </m:sSubSup>
      </m:oMath>
      <w:r w:rsidR="00F15782" w:rsidRPr="00F15782">
        <w:rPr>
          <w:lang w:val="en-GB" w:eastAsia="en-US"/>
        </w:rPr>
        <w:t>;</w:t>
      </w:r>
    </w:p>
    <w:p w14:paraId="29F4A568" w14:textId="75BB25C9" w:rsidR="00F15782" w:rsidRPr="00F15782" w:rsidRDefault="00F15782" w:rsidP="00F15782">
      <w:pPr>
        <w:numPr>
          <w:ilvl w:val="0"/>
          <w:numId w:val="24"/>
        </w:numPr>
        <w:spacing w:before="0" w:after="160" w:line="259" w:lineRule="auto"/>
        <w:jc w:val="left"/>
        <w:rPr>
          <w:lang w:val="en-US" w:eastAsia="en-US"/>
        </w:rPr>
      </w:pPr>
      <w:r w:rsidRPr="00F15782">
        <w:rPr>
          <w:lang w:val="en-US" w:eastAsia="en-US"/>
        </w:rPr>
        <w:t xml:space="preserve">Then, for each </w:t>
      </w:r>
      <w:r w:rsidR="00E01259" w:rsidRPr="005059CD">
        <w:rPr>
          <w:smallCaps/>
          <w:lang w:val="en-US" w:eastAsia="en-US"/>
        </w:rPr>
        <w:t>Index</w:t>
      </w:r>
      <w:r w:rsidR="00E01259" w:rsidRPr="005059CD">
        <w:rPr>
          <w:smallCaps/>
          <w:lang w:val="en-US"/>
        </w:rPr>
        <w:t xml:space="preserve"> </w:t>
      </w:r>
      <w:r w:rsidR="00E01259" w:rsidRPr="005059CD">
        <w:rPr>
          <w:smallCaps/>
          <w:lang w:val="en-US" w:eastAsia="en-US"/>
        </w:rPr>
        <w:t>Component</w:t>
      </w:r>
      <w:r w:rsidR="00E01259" w:rsidRPr="00A73332">
        <w:rPr>
          <w:lang w:val="en-GB"/>
        </w:rPr>
        <w:t xml:space="preserve"> </w:t>
      </w:r>
      <w:r w:rsidRPr="00F15782">
        <w:rPr>
          <w:lang w:val="en-US" w:eastAsia="en-US"/>
        </w:rPr>
        <w:t xml:space="preserve">the maximum weight </w:t>
      </w:r>
      <m:oMath>
        <m:sSub>
          <m:sSubPr>
            <m:ctrlPr>
              <w:rPr>
                <w:rFonts w:ascii="Cambria Math" w:hAnsi="Cambria Math"/>
                <w:i/>
                <w:lang w:eastAsia="en-US"/>
              </w:rPr>
            </m:ctrlPr>
          </m:sSubPr>
          <m:e>
            <m:r>
              <w:rPr>
                <w:rFonts w:ascii="Cambria Math" w:hAnsi="Cambria Math"/>
                <w:lang w:eastAsia="en-US"/>
              </w:rPr>
              <m:t>w</m:t>
            </m:r>
          </m:e>
          <m:sub>
            <m:r>
              <w:rPr>
                <w:rFonts w:ascii="Cambria Math" w:hAnsi="Cambria Math"/>
                <w:lang w:eastAsia="en-US"/>
              </w:rPr>
              <m:t>i</m:t>
            </m:r>
            <m:r>
              <w:rPr>
                <w:rFonts w:ascii="Cambria Math" w:hAnsi="Cambria Math"/>
                <w:lang w:val="en-GB" w:eastAsia="en-US"/>
              </w:rPr>
              <m:t xml:space="preserve">, </m:t>
            </m:r>
            <m:r>
              <w:rPr>
                <w:rFonts w:ascii="Cambria Math" w:hAnsi="Cambria Math"/>
                <w:lang w:eastAsia="en-US"/>
              </w:rPr>
              <m:t>max</m:t>
            </m:r>
          </m:sub>
        </m:sSub>
        <m:r>
          <w:rPr>
            <w:rFonts w:ascii="Cambria Math" w:hAnsi="Cambria Math"/>
            <w:lang w:val="en-GB" w:eastAsia="en-US"/>
          </w:rPr>
          <m:t xml:space="preserve"> </m:t>
        </m:r>
      </m:oMath>
      <w:r w:rsidRPr="00F15782">
        <w:rPr>
          <w:lang w:val="en-US" w:eastAsia="en-US"/>
        </w:rPr>
        <w:t>is calculated as:</w:t>
      </w:r>
    </w:p>
    <w:p w14:paraId="297A413A" w14:textId="7D576008" w:rsidR="00F15782" w:rsidRPr="00F15782" w:rsidRDefault="00E01259" w:rsidP="00F15782">
      <w:pPr>
        <w:spacing w:before="0" w:after="160" w:line="259" w:lineRule="auto"/>
        <w:jc w:val="left"/>
        <w:rPr>
          <w:lang w:val="en-US" w:eastAsia="en-US"/>
        </w:rPr>
      </w:pPr>
      <m:oMathPara>
        <m:oMath>
          <m:sSub>
            <m:sSubPr>
              <m:ctrlPr>
                <w:rPr>
                  <w:rFonts w:ascii="Cambria Math" w:hAnsi="Cambria Math"/>
                  <w:i/>
                  <w:lang w:eastAsia="en-US"/>
                </w:rPr>
              </m:ctrlPr>
            </m:sSubPr>
            <m:e>
              <m:r>
                <w:rPr>
                  <w:rFonts w:ascii="Cambria Math" w:hAnsi="Cambria Math"/>
                  <w:lang w:eastAsia="en-US"/>
                </w:rPr>
                <m:t>w</m:t>
              </m:r>
            </m:e>
            <m:sub>
              <m:r>
                <w:rPr>
                  <w:rFonts w:ascii="Cambria Math" w:hAnsi="Cambria Math"/>
                  <w:lang w:eastAsia="en-US"/>
                </w:rPr>
                <m:t>i, max</m:t>
              </m:r>
            </m:sub>
          </m:sSub>
          <m:r>
            <w:rPr>
              <w:rFonts w:ascii="Cambria Math" w:hAnsi="Cambria Math"/>
              <w:lang w:val="en-GB" w:eastAsia="en-US"/>
            </w:rPr>
            <m:t xml:space="preserve"> </m:t>
          </m:r>
          <m:r>
            <w:rPr>
              <w:rFonts w:ascii="Cambria Math" w:hAnsi="Cambria Math"/>
              <w:lang w:eastAsia="en-US"/>
            </w:rPr>
            <m:t>= Min</m:t>
          </m:r>
          <m:d>
            <m:dPr>
              <m:begChr m:val="{"/>
              <m:endChr m:val="}"/>
              <m:ctrlPr>
                <w:rPr>
                  <w:rFonts w:ascii="Cambria Math" w:hAnsi="Cambria Math"/>
                  <w:i/>
                  <w:lang w:eastAsia="en-US"/>
                </w:rPr>
              </m:ctrlPr>
            </m:dPr>
            <m:e>
              <m:sSubSup>
                <m:sSubSupPr>
                  <m:ctrlPr>
                    <w:rPr>
                      <w:rFonts w:ascii="Cambria Math" w:hAnsi="Cambria Math"/>
                      <w:i/>
                      <w:lang w:eastAsia="en-US"/>
                    </w:rPr>
                  </m:ctrlPr>
                </m:sSubSupPr>
                <m:e>
                  <m:r>
                    <w:rPr>
                      <w:rFonts w:ascii="Cambria Math" w:hAnsi="Cambria Math"/>
                      <w:lang w:eastAsia="en-US"/>
                    </w:rPr>
                    <m:t>w</m:t>
                  </m:r>
                </m:e>
                <m:sub>
                  <m:r>
                    <w:rPr>
                      <w:rFonts w:ascii="Cambria Math" w:hAnsi="Cambria Math"/>
                      <w:lang w:eastAsia="en-US"/>
                    </w:rPr>
                    <m:t>i, max</m:t>
                  </m:r>
                </m:sub>
                <m:sup>
                  <m:r>
                    <w:rPr>
                      <w:rFonts w:ascii="Cambria Math" w:hAnsi="Cambria Math"/>
                      <w:lang w:eastAsia="en-US"/>
                    </w:rPr>
                    <m:t>liquidity</m:t>
                  </m:r>
                </m:sup>
              </m:sSubSup>
              <m:r>
                <w:rPr>
                  <w:rFonts w:ascii="Cambria Math" w:hAnsi="Cambria Math"/>
                  <w:lang w:eastAsia="en-US"/>
                </w:rPr>
                <m:t xml:space="preserve">, </m:t>
              </m:r>
              <m:sSubSup>
                <m:sSubSupPr>
                  <m:ctrlPr>
                    <w:rPr>
                      <w:rFonts w:ascii="Cambria Math" w:hAnsi="Cambria Math"/>
                      <w:i/>
                      <w:lang w:eastAsia="en-US"/>
                    </w:rPr>
                  </m:ctrlPr>
                </m:sSubSupPr>
                <m:e>
                  <m:r>
                    <w:rPr>
                      <w:rFonts w:ascii="Cambria Math" w:hAnsi="Cambria Math"/>
                      <w:lang w:eastAsia="en-US"/>
                    </w:rPr>
                    <m:t>w</m:t>
                  </m:r>
                </m:e>
                <m:sub>
                  <m:r>
                    <w:rPr>
                      <w:rFonts w:ascii="Cambria Math" w:hAnsi="Cambria Math"/>
                      <w:lang w:eastAsia="en-US"/>
                    </w:rPr>
                    <m:t>i, max</m:t>
                  </m:r>
                </m:sub>
                <m:sup>
                  <m:r>
                    <w:rPr>
                      <w:rFonts w:ascii="Cambria Math" w:hAnsi="Cambria Math"/>
                      <w:lang w:eastAsia="en-US"/>
                    </w:rPr>
                    <m:t>ownership</m:t>
                  </m:r>
                </m:sup>
              </m:sSubSup>
            </m:e>
          </m:d>
        </m:oMath>
      </m:oMathPara>
    </w:p>
    <w:p w14:paraId="52251B9F" w14:textId="77777777" w:rsidR="00F15782" w:rsidRPr="00F15782" w:rsidRDefault="00F15782" w:rsidP="00F15782">
      <w:pPr>
        <w:spacing w:before="0" w:after="160" w:line="259" w:lineRule="auto"/>
        <w:jc w:val="left"/>
        <w:rPr>
          <w:lang w:eastAsia="en-US"/>
        </w:rPr>
      </w:pPr>
      <w:proofErr w:type="spellStart"/>
      <w:r w:rsidRPr="00F15782">
        <w:rPr>
          <w:lang w:eastAsia="en-US"/>
        </w:rPr>
        <w:t>where</w:t>
      </w:r>
      <w:proofErr w:type="spellEnd"/>
      <w:r w:rsidRPr="00F15782">
        <w:rPr>
          <w:lang w:eastAsia="en-US"/>
        </w:rPr>
        <w:t>,</w:t>
      </w:r>
    </w:p>
    <w:p w14:paraId="74A17C86" w14:textId="4795C82C" w:rsidR="00F15782" w:rsidRPr="00F15782" w:rsidRDefault="00E01259" w:rsidP="00F15782">
      <w:pPr>
        <w:spacing w:before="0" w:after="160" w:line="259" w:lineRule="auto"/>
        <w:jc w:val="left"/>
        <w:rPr>
          <w:lang w:eastAsia="en-US"/>
        </w:rPr>
      </w:pPr>
      <m:oMathPara>
        <m:oMath>
          <m:sSubSup>
            <m:sSubSupPr>
              <m:ctrlPr>
                <w:rPr>
                  <w:rFonts w:ascii="Cambria Math" w:hAnsi="Cambria Math"/>
                  <w:i/>
                  <w:lang w:eastAsia="en-US"/>
                </w:rPr>
              </m:ctrlPr>
            </m:sSubSupPr>
            <m:e>
              <m:r>
                <w:rPr>
                  <w:rFonts w:ascii="Cambria Math" w:hAnsi="Cambria Math"/>
                  <w:lang w:eastAsia="en-US"/>
                </w:rPr>
                <m:t>w</m:t>
              </m:r>
            </m:e>
            <m:sub>
              <m:r>
                <w:rPr>
                  <w:rFonts w:ascii="Cambria Math" w:hAnsi="Cambria Math"/>
                  <w:lang w:eastAsia="en-US"/>
                </w:rPr>
                <m:t>i, max</m:t>
              </m:r>
            </m:sub>
            <m:sup>
              <m:r>
                <w:rPr>
                  <w:rFonts w:ascii="Cambria Math" w:hAnsi="Cambria Math"/>
                  <w:lang w:eastAsia="en-US"/>
                </w:rPr>
                <m:t>liquidity</m:t>
              </m:r>
            </m:sup>
          </m:sSubSup>
          <m:r>
            <w:rPr>
              <w:rFonts w:ascii="Cambria Math" w:hAnsi="Cambria Math"/>
              <w:lang w:eastAsia="en-US"/>
            </w:rPr>
            <m:t xml:space="preserve"> = </m:t>
          </m:r>
          <m:f>
            <m:fPr>
              <m:ctrlPr>
                <w:rPr>
                  <w:rFonts w:ascii="Cambria Math" w:hAnsi="Cambria Math"/>
                  <w:i/>
                  <w:lang w:eastAsia="en-US"/>
                </w:rPr>
              </m:ctrlPr>
            </m:fPr>
            <m:num>
              <m:d>
                <m:dPr>
                  <m:ctrlPr>
                    <w:rPr>
                      <w:rFonts w:ascii="Cambria Math" w:hAnsi="Cambria Math"/>
                      <w:i/>
                      <w:lang w:eastAsia="en-US"/>
                    </w:rPr>
                  </m:ctrlPr>
                </m:dPr>
                <m:e>
                  <m:r>
                    <w:rPr>
                      <w:rFonts w:ascii="Cambria Math" w:hAnsi="Cambria Math"/>
                      <w:lang w:eastAsia="en-US"/>
                    </w:rPr>
                    <m:t>1 – Haircut</m:t>
                  </m:r>
                </m:e>
              </m:d>
              <m:r>
                <w:rPr>
                  <w:rFonts w:ascii="Cambria Math" w:hAnsi="Cambria Math"/>
                  <w:lang w:eastAsia="en-US"/>
                </w:rPr>
                <m:t>× Liquidity Measure× Participation (%)</m:t>
              </m:r>
            </m:num>
            <m:den>
              <m:r>
                <w:rPr>
                  <w:rFonts w:ascii="Cambria Math" w:hAnsi="Cambria Math"/>
                  <w:lang w:eastAsia="en-US"/>
                </w:rPr>
                <m:t>AuM× Turnover</m:t>
              </m:r>
            </m:den>
          </m:f>
          <m:r>
            <w:rPr>
              <w:rFonts w:ascii="Cambria Math" w:hAnsi="Cambria Math"/>
              <w:lang w:eastAsia="en-US"/>
            </w:rPr>
            <m:t xml:space="preserve">    </m:t>
          </m:r>
        </m:oMath>
      </m:oMathPara>
    </w:p>
    <w:p w14:paraId="723311BE" w14:textId="7DA56ED4" w:rsidR="00F15782" w:rsidRPr="00F15782" w:rsidRDefault="00E01259" w:rsidP="00F15782">
      <w:pPr>
        <w:spacing w:before="0" w:after="160" w:line="259" w:lineRule="auto"/>
        <w:jc w:val="left"/>
        <w:rPr>
          <w:lang w:val="en-GB" w:eastAsia="en-US"/>
        </w:rPr>
      </w:pPr>
      <m:oMathPara>
        <m:oMath>
          <m:sSubSup>
            <m:sSubSupPr>
              <m:ctrlPr>
                <w:rPr>
                  <w:rFonts w:ascii="Cambria Math" w:hAnsi="Cambria Math"/>
                  <w:i/>
                  <w:lang w:eastAsia="en-US"/>
                </w:rPr>
              </m:ctrlPr>
            </m:sSubSupPr>
            <m:e>
              <m:r>
                <w:rPr>
                  <w:rFonts w:ascii="Cambria Math" w:hAnsi="Cambria Math"/>
                  <w:lang w:eastAsia="en-US"/>
                </w:rPr>
                <m:t>w</m:t>
              </m:r>
            </m:e>
            <m:sub>
              <m:r>
                <w:rPr>
                  <w:rFonts w:ascii="Cambria Math" w:hAnsi="Cambria Math"/>
                  <w:lang w:eastAsia="en-US"/>
                </w:rPr>
                <m:t>i,max</m:t>
              </m:r>
            </m:sub>
            <m:sup>
              <m:r>
                <w:rPr>
                  <w:rFonts w:ascii="Cambria Math" w:hAnsi="Cambria Math"/>
                  <w:lang w:eastAsia="en-US"/>
                </w:rPr>
                <m:t>ownership</m:t>
              </m:r>
            </m:sup>
          </m:sSubSup>
          <m:r>
            <w:rPr>
              <w:rFonts w:ascii="Cambria Math" w:hAnsi="Cambria Math"/>
              <w:lang w:eastAsia="en-US"/>
            </w:rPr>
            <m:t xml:space="preserve"> = </m:t>
          </m:r>
          <m:f>
            <m:fPr>
              <m:ctrlPr>
                <w:rPr>
                  <w:rFonts w:ascii="Cambria Math" w:hAnsi="Cambria Math"/>
                  <w:i/>
                  <w:lang w:eastAsia="en-US"/>
                </w:rPr>
              </m:ctrlPr>
            </m:fPr>
            <m:num>
              <m:r>
                <w:rPr>
                  <w:rFonts w:ascii="Cambria Math" w:hAnsi="Cambria Math"/>
                  <w:lang w:eastAsia="en-US"/>
                </w:rPr>
                <m:t>Market Cap× Max Ownership</m:t>
              </m:r>
            </m:num>
            <m:den>
              <m:r>
                <w:rPr>
                  <w:rFonts w:ascii="Cambria Math" w:hAnsi="Cambria Math"/>
                  <w:lang w:eastAsia="en-US"/>
                </w:rPr>
                <m:t>AuM</m:t>
              </m:r>
            </m:den>
          </m:f>
        </m:oMath>
      </m:oMathPara>
    </w:p>
    <w:p w14:paraId="2C3CA9F9" w14:textId="77777777" w:rsidR="00F15782" w:rsidRPr="00F15782" w:rsidRDefault="00F15782" w:rsidP="00F15782">
      <w:pPr>
        <w:spacing w:before="0" w:after="160" w:line="259" w:lineRule="auto"/>
        <w:jc w:val="left"/>
        <w:rPr>
          <w:lang w:val="en-GB" w:eastAsia="en-US"/>
        </w:rPr>
      </w:pPr>
      <w:r w:rsidRPr="00F15782">
        <w:rPr>
          <w:lang w:val="en-GB" w:eastAsia="en-US"/>
        </w:rPr>
        <w:t>and,</w:t>
      </w:r>
    </w:p>
    <w:p w14:paraId="2E518A5A" w14:textId="77777777" w:rsidR="00F15782" w:rsidRPr="00F15782" w:rsidRDefault="00F15782" w:rsidP="00F15782">
      <w:pPr>
        <w:spacing w:before="0" w:after="160" w:line="259" w:lineRule="auto"/>
        <w:jc w:val="left"/>
        <w:rPr>
          <w:lang w:val="en-GB" w:eastAsia="en-US"/>
        </w:rPr>
      </w:pPr>
      <w:proofErr w:type="spellStart"/>
      <w:r w:rsidRPr="00F15782">
        <w:rPr>
          <w:lang w:val="en-GB" w:eastAsia="en-US"/>
        </w:rPr>
        <w:t>AuM</w:t>
      </w:r>
      <w:proofErr w:type="spellEnd"/>
      <w:r w:rsidRPr="00F15782">
        <w:rPr>
          <w:lang w:val="en-GB" w:eastAsia="en-US"/>
        </w:rPr>
        <w:t xml:space="preserve"> means the maximum of total assets under management in US Dollars of ETFs tracking the index as listed in Appendix C and US Dollars 50 million;</w:t>
      </w:r>
    </w:p>
    <w:p w14:paraId="093570D2" w14:textId="77777777" w:rsidR="00F15782" w:rsidRPr="00F15782" w:rsidRDefault="00F15782" w:rsidP="00F15782">
      <w:pPr>
        <w:spacing w:before="0" w:after="160" w:line="259" w:lineRule="auto"/>
        <w:jc w:val="left"/>
        <w:rPr>
          <w:lang w:val="en-GB" w:eastAsia="en-US"/>
        </w:rPr>
      </w:pPr>
      <w:r w:rsidRPr="00F15782">
        <w:rPr>
          <w:lang w:val="en-GB" w:eastAsia="en-US"/>
        </w:rPr>
        <w:t>Haircut is 10%;</w:t>
      </w:r>
    </w:p>
    <w:p w14:paraId="6235DEC3" w14:textId="77777777" w:rsidR="00F15782" w:rsidRPr="00F15782" w:rsidRDefault="00F15782" w:rsidP="00F15782">
      <w:pPr>
        <w:spacing w:before="0" w:after="160" w:line="259" w:lineRule="auto"/>
        <w:jc w:val="left"/>
        <w:rPr>
          <w:lang w:val="en-US" w:eastAsia="en-US"/>
        </w:rPr>
      </w:pPr>
      <w:r w:rsidRPr="00F15782">
        <w:rPr>
          <w:lang w:val="en-GB" w:eastAsia="en-US"/>
        </w:rPr>
        <w:t xml:space="preserve">Liquidity Measure means 3-month </w:t>
      </w:r>
      <w:r w:rsidRPr="00F15782">
        <w:rPr>
          <w:lang w:val="en-US" w:eastAsia="en-US"/>
        </w:rPr>
        <w:t>Average Daily Value Traded;</w:t>
      </w:r>
    </w:p>
    <w:p w14:paraId="47AFBAB4" w14:textId="77777777" w:rsidR="00F15782" w:rsidRPr="00F15782" w:rsidRDefault="00F15782" w:rsidP="00F15782">
      <w:pPr>
        <w:spacing w:before="0" w:after="160" w:line="259" w:lineRule="auto"/>
        <w:jc w:val="left"/>
        <w:rPr>
          <w:lang w:val="en-GB" w:eastAsia="en-US"/>
        </w:rPr>
      </w:pPr>
      <w:r w:rsidRPr="00F15782">
        <w:rPr>
          <w:lang w:val="en-GB" w:eastAsia="en-US"/>
        </w:rPr>
        <w:t>Market Cap means the market capitalisation of a company in US Dollars;</w:t>
      </w:r>
    </w:p>
    <w:p w14:paraId="3B9A5964" w14:textId="77777777" w:rsidR="00F15782" w:rsidRPr="00F15782" w:rsidRDefault="00F15782" w:rsidP="00F15782">
      <w:pPr>
        <w:spacing w:before="0" w:after="160" w:line="259" w:lineRule="auto"/>
        <w:jc w:val="left"/>
        <w:rPr>
          <w:lang w:val="en-GB" w:eastAsia="en-US"/>
        </w:rPr>
      </w:pPr>
      <w:r w:rsidRPr="00F15782">
        <w:rPr>
          <w:lang w:val="en-GB" w:eastAsia="en-US"/>
        </w:rPr>
        <w:t>Max Ownership is 7.5%;</w:t>
      </w:r>
    </w:p>
    <w:p w14:paraId="2B642E8A" w14:textId="77777777" w:rsidR="00F15782" w:rsidRPr="00F15782" w:rsidRDefault="00F15782" w:rsidP="00F15782">
      <w:pPr>
        <w:spacing w:before="0" w:after="160" w:line="259" w:lineRule="auto"/>
        <w:jc w:val="left"/>
        <w:rPr>
          <w:lang w:val="en-GB" w:eastAsia="en-US"/>
        </w:rPr>
      </w:pPr>
      <w:r w:rsidRPr="00F15782">
        <w:rPr>
          <w:lang w:val="en-GB" w:eastAsia="en-US"/>
        </w:rPr>
        <w:t>Participation (%) is 100%;</w:t>
      </w:r>
    </w:p>
    <w:p w14:paraId="3D5A3C79" w14:textId="77777777" w:rsidR="00F15782" w:rsidRPr="00F15782" w:rsidRDefault="00F15782" w:rsidP="00F15782">
      <w:pPr>
        <w:spacing w:before="0" w:after="160" w:line="259" w:lineRule="auto"/>
        <w:jc w:val="left"/>
        <w:rPr>
          <w:lang w:val="en-GB" w:eastAsia="en-US"/>
        </w:rPr>
      </w:pPr>
      <w:r w:rsidRPr="00F15782">
        <w:rPr>
          <w:lang w:val="en-GB" w:eastAsia="en-US"/>
        </w:rPr>
        <w:t>Turnover means the hypothetical fund turnover in respect of each rebalancing date and is assumed to be 40%.</w:t>
      </w:r>
    </w:p>
    <w:p w14:paraId="49CECDB7" w14:textId="33E72DC6" w:rsidR="00F15782" w:rsidRPr="00F15782" w:rsidRDefault="00F15782" w:rsidP="00F15782">
      <w:pPr>
        <w:numPr>
          <w:ilvl w:val="0"/>
          <w:numId w:val="24"/>
        </w:numPr>
        <w:spacing w:before="0" w:after="160" w:line="259" w:lineRule="auto"/>
        <w:jc w:val="left"/>
        <w:rPr>
          <w:lang w:val="en-GB" w:eastAsia="en-US"/>
        </w:rPr>
      </w:pPr>
      <w:r w:rsidRPr="00F15782">
        <w:rPr>
          <w:lang w:val="en-GB" w:eastAsia="en-US"/>
        </w:rPr>
        <w:t xml:space="preserve">In respect of Index Components whose initial weight </w:t>
      </w:r>
      <m:oMath>
        <m:sSubSup>
          <m:sSubSupPr>
            <m:ctrlPr>
              <w:rPr>
                <w:rFonts w:ascii="Cambria Math" w:hAnsi="Cambria Math"/>
                <w:i/>
                <w:lang w:eastAsia="en-US"/>
              </w:rPr>
            </m:ctrlPr>
          </m:sSubSupPr>
          <m:e>
            <m:r>
              <w:rPr>
                <w:rFonts w:ascii="Cambria Math" w:hAnsi="Cambria Math"/>
                <w:lang w:eastAsia="en-US"/>
              </w:rPr>
              <m:t>w</m:t>
            </m:r>
          </m:e>
          <m:sub>
            <m:r>
              <w:rPr>
                <w:rFonts w:ascii="Cambria Math" w:hAnsi="Cambria Math"/>
                <w:lang w:eastAsia="en-US"/>
              </w:rPr>
              <m:t>i</m:t>
            </m:r>
          </m:sub>
          <m:sup>
            <m:r>
              <w:rPr>
                <w:rFonts w:ascii="Cambria Math" w:hAnsi="Cambria Math"/>
                <w:lang w:val="en-GB" w:eastAsia="en-US"/>
              </w:rPr>
              <m:t>*</m:t>
            </m:r>
          </m:sup>
        </m:sSubSup>
      </m:oMath>
      <w:r w:rsidRPr="00F15782">
        <w:rPr>
          <w:lang w:val="en-GB" w:eastAsia="en-US"/>
        </w:rPr>
        <w:t xml:space="preserve"> </w:t>
      </w:r>
      <w:r w:rsidR="00D976A6" w:rsidRPr="00F15782">
        <w:rPr>
          <w:lang w:val="en-GB" w:eastAsia="en-US"/>
        </w:rPr>
        <w:t>is greater</w:t>
      </w:r>
      <w:r w:rsidRPr="00F15782">
        <w:rPr>
          <w:lang w:val="en-GB" w:eastAsia="en-US"/>
        </w:rPr>
        <w:t xml:space="preserve"> than </w:t>
      </w:r>
      <m:oMath>
        <m:sSub>
          <m:sSubPr>
            <m:ctrlPr>
              <w:rPr>
                <w:rFonts w:ascii="Cambria Math" w:hAnsi="Cambria Math"/>
                <w:i/>
                <w:lang w:eastAsia="en-US"/>
              </w:rPr>
            </m:ctrlPr>
          </m:sSubPr>
          <m:e>
            <m:r>
              <w:rPr>
                <w:rFonts w:ascii="Cambria Math" w:hAnsi="Cambria Math"/>
                <w:lang w:eastAsia="en-US"/>
              </w:rPr>
              <m:t>w</m:t>
            </m:r>
          </m:e>
          <m:sub>
            <m:r>
              <w:rPr>
                <w:rFonts w:ascii="Cambria Math" w:hAnsi="Cambria Math"/>
                <w:lang w:eastAsia="en-US"/>
              </w:rPr>
              <m:t>i</m:t>
            </m:r>
            <m:r>
              <w:rPr>
                <w:rFonts w:ascii="Cambria Math" w:hAnsi="Cambria Math"/>
                <w:lang w:val="en-GB" w:eastAsia="en-US"/>
              </w:rPr>
              <m:t xml:space="preserve">, </m:t>
            </m:r>
            <m:r>
              <w:rPr>
                <w:rFonts w:ascii="Cambria Math" w:hAnsi="Cambria Math"/>
                <w:lang w:eastAsia="en-US"/>
              </w:rPr>
              <m:t>max</m:t>
            </m:r>
          </m:sub>
        </m:sSub>
      </m:oMath>
      <w:r w:rsidRPr="00F15782">
        <w:rPr>
          <w:lang w:val="en-GB" w:eastAsia="en-US"/>
        </w:rPr>
        <w:t xml:space="preserve">, the </w:t>
      </w:r>
      <w:r w:rsidR="00D976A6">
        <w:rPr>
          <w:lang w:val="en-DE" w:eastAsia="en-US"/>
        </w:rPr>
        <w:t>t</w:t>
      </w:r>
      <w:proofErr w:type="spellStart"/>
      <w:r w:rsidR="00D976A6" w:rsidRPr="00F15782">
        <w:rPr>
          <w:lang w:val="en-GB" w:eastAsia="en-US"/>
        </w:rPr>
        <w:t>arget</w:t>
      </w:r>
      <w:proofErr w:type="spellEnd"/>
      <w:r w:rsidR="00D976A6" w:rsidRPr="00F15782">
        <w:rPr>
          <w:lang w:val="en-GB" w:eastAsia="en-US"/>
        </w:rPr>
        <w:t xml:space="preserve"> </w:t>
      </w:r>
      <w:proofErr w:type="spellStart"/>
      <w:r w:rsidR="00D976A6">
        <w:rPr>
          <w:lang w:val="en-DE" w:eastAsia="en-US"/>
        </w:rPr>
        <w:t>i</w:t>
      </w:r>
      <w:r w:rsidR="00D976A6" w:rsidRPr="00F15782">
        <w:rPr>
          <w:lang w:val="en-GB" w:eastAsia="en-US"/>
        </w:rPr>
        <w:t>ndex</w:t>
      </w:r>
      <w:proofErr w:type="spellEnd"/>
      <w:r w:rsidR="00D976A6" w:rsidRPr="00F15782">
        <w:rPr>
          <w:lang w:val="en-GB" w:eastAsia="en-US"/>
        </w:rPr>
        <w:t xml:space="preserve"> </w:t>
      </w:r>
      <w:r w:rsidR="00D976A6">
        <w:rPr>
          <w:lang w:val="en-DE" w:eastAsia="en-US"/>
        </w:rPr>
        <w:t>w</w:t>
      </w:r>
      <w:r w:rsidR="00D976A6" w:rsidRPr="00F15782">
        <w:rPr>
          <w:lang w:val="en-GB" w:eastAsia="en-US"/>
        </w:rPr>
        <w:t xml:space="preserve">eight </w:t>
      </w:r>
      <m:oMath>
        <m:sSub>
          <m:sSubPr>
            <m:ctrlPr>
              <w:rPr>
                <w:rFonts w:ascii="Cambria Math" w:hAnsi="Cambria Math"/>
                <w:i/>
                <w:lang w:eastAsia="en-US"/>
              </w:rPr>
            </m:ctrlPr>
          </m:sSubPr>
          <m:e>
            <m:r>
              <w:rPr>
                <w:rFonts w:ascii="Cambria Math" w:hAnsi="Cambria Math"/>
                <w:lang w:eastAsia="en-US"/>
              </w:rPr>
              <m:t>w</m:t>
            </m:r>
          </m:e>
          <m:sub>
            <m:r>
              <w:rPr>
                <w:rFonts w:ascii="Cambria Math" w:hAnsi="Cambria Math"/>
                <w:lang w:eastAsia="en-US"/>
              </w:rPr>
              <m:t>i</m:t>
            </m:r>
          </m:sub>
        </m:sSub>
      </m:oMath>
      <w:r w:rsidRPr="00F15782">
        <w:rPr>
          <w:lang w:val="en-GB" w:eastAsia="en-US"/>
        </w:rPr>
        <w:t xml:space="preserve"> shall be set to be equal to </w:t>
      </w:r>
      <m:oMath>
        <m:sSub>
          <m:sSubPr>
            <m:ctrlPr>
              <w:rPr>
                <w:rFonts w:ascii="Cambria Math" w:hAnsi="Cambria Math"/>
                <w:i/>
                <w:lang w:eastAsia="en-US"/>
              </w:rPr>
            </m:ctrlPr>
          </m:sSubPr>
          <m:e>
            <m:r>
              <w:rPr>
                <w:rFonts w:ascii="Cambria Math" w:hAnsi="Cambria Math"/>
                <w:lang w:eastAsia="en-US"/>
              </w:rPr>
              <m:t>w</m:t>
            </m:r>
          </m:e>
          <m:sub>
            <m:r>
              <w:rPr>
                <w:rFonts w:ascii="Cambria Math" w:hAnsi="Cambria Math"/>
                <w:lang w:eastAsia="en-US"/>
              </w:rPr>
              <m:t>i</m:t>
            </m:r>
            <m:r>
              <w:rPr>
                <w:rFonts w:ascii="Cambria Math" w:hAnsi="Cambria Math"/>
                <w:lang w:val="en-GB" w:eastAsia="en-US"/>
              </w:rPr>
              <m:t xml:space="preserve">, </m:t>
            </m:r>
            <m:r>
              <w:rPr>
                <w:rFonts w:ascii="Cambria Math" w:hAnsi="Cambria Math"/>
                <w:lang w:eastAsia="en-US"/>
              </w:rPr>
              <m:t>max</m:t>
            </m:r>
          </m:sub>
        </m:sSub>
      </m:oMath>
      <w:r w:rsidRPr="00F15782">
        <w:rPr>
          <w:lang w:val="en-GB" w:eastAsia="en-US"/>
        </w:rPr>
        <w:t>, and the excess weight is then calculated as follows:</w:t>
      </w:r>
    </w:p>
    <w:p w14:paraId="1DB6C491" w14:textId="21576BAB" w:rsidR="00F15782" w:rsidRPr="00F15782" w:rsidRDefault="00E01259" w:rsidP="00F15782">
      <w:pPr>
        <w:spacing w:before="0" w:after="160" w:line="259" w:lineRule="auto"/>
        <w:jc w:val="left"/>
        <w:rPr>
          <w:lang w:eastAsia="en-US"/>
        </w:rPr>
      </w:pPr>
      <m:oMathPara>
        <m:oMath>
          <m:sSub>
            <m:sSubPr>
              <m:ctrlPr>
                <w:rPr>
                  <w:rFonts w:ascii="Cambria Math" w:hAnsi="Cambria Math"/>
                  <w:i/>
                  <w:lang w:eastAsia="en-US"/>
                </w:rPr>
              </m:ctrlPr>
            </m:sSubPr>
            <m:e>
              <m:r>
                <w:rPr>
                  <w:rFonts w:ascii="Cambria Math" w:hAnsi="Cambria Math"/>
                  <w:lang w:eastAsia="en-US"/>
                </w:rPr>
                <m:t>w</m:t>
              </m:r>
            </m:e>
            <m:sub>
              <m:r>
                <w:rPr>
                  <w:rFonts w:ascii="Cambria Math" w:hAnsi="Cambria Math"/>
                  <w:lang w:eastAsia="en-US"/>
                </w:rPr>
                <m:t>i,  excess</m:t>
              </m:r>
            </m:sub>
          </m:sSub>
          <m:r>
            <w:rPr>
              <w:rFonts w:ascii="Cambria Math" w:hAnsi="Cambria Math"/>
              <w:lang w:eastAsia="en-US"/>
            </w:rPr>
            <m:t xml:space="preserve"> = </m:t>
          </m:r>
          <m:sSubSup>
            <m:sSubSupPr>
              <m:ctrlPr>
                <w:rPr>
                  <w:rFonts w:ascii="Cambria Math" w:hAnsi="Cambria Math"/>
                  <w:i/>
                  <w:lang w:eastAsia="en-US"/>
                </w:rPr>
              </m:ctrlPr>
            </m:sSubSupPr>
            <m:e>
              <m:r>
                <w:rPr>
                  <w:rFonts w:ascii="Cambria Math" w:hAnsi="Cambria Math"/>
                  <w:lang w:eastAsia="en-US"/>
                </w:rPr>
                <m:t>w</m:t>
              </m:r>
            </m:e>
            <m:sub>
              <m:r>
                <w:rPr>
                  <w:rFonts w:ascii="Cambria Math" w:hAnsi="Cambria Math"/>
                  <w:lang w:eastAsia="en-US"/>
                </w:rPr>
                <m:t>i</m:t>
              </m:r>
            </m:sub>
            <m:sup>
              <m:r>
                <w:rPr>
                  <w:rFonts w:ascii="Cambria Math" w:hAnsi="Cambria Math"/>
                  <w:lang w:eastAsia="en-US"/>
                </w:rPr>
                <m:t>*</m:t>
              </m:r>
            </m:sup>
          </m:sSubSup>
          <m:r>
            <w:rPr>
              <w:rFonts w:ascii="Cambria Math" w:hAnsi="Cambria Math"/>
              <w:lang w:eastAsia="en-US"/>
            </w:rPr>
            <m:t xml:space="preserve"> – </m:t>
          </m:r>
          <m:sSub>
            <m:sSubPr>
              <m:ctrlPr>
                <w:rPr>
                  <w:rFonts w:ascii="Cambria Math" w:hAnsi="Cambria Math"/>
                  <w:i/>
                  <w:lang w:eastAsia="en-US"/>
                </w:rPr>
              </m:ctrlPr>
            </m:sSubPr>
            <m:e>
              <m:r>
                <w:rPr>
                  <w:rFonts w:ascii="Cambria Math" w:hAnsi="Cambria Math"/>
                  <w:lang w:eastAsia="en-US"/>
                </w:rPr>
                <m:t>w</m:t>
              </m:r>
            </m:e>
            <m:sub>
              <m:r>
                <w:rPr>
                  <w:rFonts w:ascii="Cambria Math" w:hAnsi="Cambria Math"/>
                  <w:lang w:eastAsia="en-US"/>
                </w:rPr>
                <m:t>i, max</m:t>
              </m:r>
            </m:sub>
          </m:sSub>
        </m:oMath>
      </m:oMathPara>
    </w:p>
    <w:p w14:paraId="079FB569" w14:textId="47DFD68B" w:rsidR="00F15782" w:rsidRPr="00F15782" w:rsidRDefault="00F15782" w:rsidP="00F15782">
      <w:pPr>
        <w:spacing w:before="0" w:after="160" w:line="259" w:lineRule="auto"/>
        <w:jc w:val="left"/>
        <w:rPr>
          <w:lang w:val="en-GB" w:eastAsia="en-US"/>
        </w:rPr>
      </w:pPr>
      <w:r w:rsidRPr="00F15782">
        <w:rPr>
          <w:lang w:val="en-GB" w:eastAsia="en-US"/>
        </w:rPr>
        <w:t xml:space="preserve">The cumulative excess weight is calculated as the sum of </w:t>
      </w:r>
      <m:oMath>
        <m:sSub>
          <m:sSubPr>
            <m:ctrlPr>
              <w:rPr>
                <w:rFonts w:ascii="Cambria Math" w:hAnsi="Cambria Math"/>
                <w:i/>
                <w:lang w:eastAsia="en-US"/>
              </w:rPr>
            </m:ctrlPr>
          </m:sSubPr>
          <m:e>
            <m:r>
              <w:rPr>
                <w:rFonts w:ascii="Cambria Math" w:hAnsi="Cambria Math"/>
                <w:lang w:eastAsia="en-US"/>
              </w:rPr>
              <m:t>w</m:t>
            </m:r>
          </m:e>
          <m:sub>
            <m:r>
              <w:rPr>
                <w:rFonts w:ascii="Cambria Math" w:hAnsi="Cambria Math"/>
                <w:lang w:eastAsia="en-US"/>
              </w:rPr>
              <m:t>i</m:t>
            </m:r>
            <m:r>
              <w:rPr>
                <w:rFonts w:ascii="Cambria Math" w:hAnsi="Cambria Math"/>
                <w:lang w:val="en-GB" w:eastAsia="en-US"/>
              </w:rPr>
              <m:t xml:space="preserve">,  </m:t>
            </m:r>
            <m:r>
              <w:rPr>
                <w:rFonts w:ascii="Cambria Math" w:hAnsi="Cambria Math"/>
                <w:lang w:eastAsia="en-US"/>
              </w:rPr>
              <m:t>excess</m:t>
            </m:r>
          </m:sub>
        </m:sSub>
      </m:oMath>
      <w:r w:rsidRPr="00F15782">
        <w:rPr>
          <w:lang w:val="en-GB" w:eastAsia="en-US"/>
        </w:rPr>
        <w:t xml:space="preserve"> in respect of all Index Components whose initial weight </w:t>
      </w:r>
      <m:oMath>
        <m:sSubSup>
          <m:sSubSupPr>
            <m:ctrlPr>
              <w:rPr>
                <w:rFonts w:ascii="Cambria Math" w:hAnsi="Cambria Math"/>
                <w:i/>
                <w:lang w:eastAsia="en-US"/>
              </w:rPr>
            </m:ctrlPr>
          </m:sSubSupPr>
          <m:e>
            <m:r>
              <w:rPr>
                <w:rFonts w:ascii="Cambria Math" w:hAnsi="Cambria Math"/>
                <w:lang w:eastAsia="en-US"/>
              </w:rPr>
              <m:t>w</m:t>
            </m:r>
          </m:e>
          <m:sub>
            <m:r>
              <w:rPr>
                <w:rFonts w:ascii="Cambria Math" w:hAnsi="Cambria Math"/>
                <w:lang w:eastAsia="en-US"/>
              </w:rPr>
              <m:t>i</m:t>
            </m:r>
          </m:sub>
          <m:sup>
            <m:r>
              <w:rPr>
                <w:rFonts w:ascii="Cambria Math" w:hAnsi="Cambria Math"/>
                <w:lang w:val="en-GB" w:eastAsia="en-US"/>
              </w:rPr>
              <m:t>*</m:t>
            </m:r>
          </m:sup>
        </m:sSubSup>
      </m:oMath>
      <w:r w:rsidRPr="00F15782">
        <w:rPr>
          <w:lang w:val="en-GB" w:eastAsia="en-US"/>
        </w:rPr>
        <w:t xml:space="preserve"> is  greater than </w:t>
      </w:r>
      <m:oMath>
        <m:sSub>
          <m:sSubPr>
            <m:ctrlPr>
              <w:rPr>
                <w:rFonts w:ascii="Cambria Math" w:hAnsi="Cambria Math"/>
                <w:i/>
                <w:lang w:eastAsia="en-US"/>
              </w:rPr>
            </m:ctrlPr>
          </m:sSubPr>
          <m:e>
            <m:r>
              <w:rPr>
                <w:rFonts w:ascii="Cambria Math" w:hAnsi="Cambria Math"/>
                <w:lang w:eastAsia="en-US"/>
              </w:rPr>
              <m:t>w</m:t>
            </m:r>
          </m:e>
          <m:sub>
            <m:r>
              <w:rPr>
                <w:rFonts w:ascii="Cambria Math" w:hAnsi="Cambria Math"/>
                <w:lang w:eastAsia="en-US"/>
              </w:rPr>
              <m:t>i</m:t>
            </m:r>
            <m:r>
              <w:rPr>
                <w:rFonts w:ascii="Cambria Math" w:hAnsi="Cambria Math"/>
                <w:lang w:val="en-GB" w:eastAsia="en-US"/>
              </w:rPr>
              <m:t xml:space="preserve">, </m:t>
            </m:r>
            <m:r>
              <w:rPr>
                <w:rFonts w:ascii="Cambria Math" w:hAnsi="Cambria Math"/>
                <w:lang w:eastAsia="en-US"/>
              </w:rPr>
              <m:t>max</m:t>
            </m:r>
          </m:sub>
        </m:sSub>
      </m:oMath>
      <w:r w:rsidRPr="00F15782">
        <w:rPr>
          <w:lang w:val="en-GB" w:eastAsia="en-US"/>
        </w:rPr>
        <w:t xml:space="preserve">. </w:t>
      </w:r>
    </w:p>
    <w:p w14:paraId="14FF429B" w14:textId="5BA310E2" w:rsidR="00F15782" w:rsidRDefault="00F15782" w:rsidP="00F15782">
      <w:pPr>
        <w:spacing w:before="0" w:after="160" w:line="259" w:lineRule="auto"/>
        <w:jc w:val="left"/>
        <w:rPr>
          <w:lang w:val="en-GB" w:eastAsia="en-US"/>
        </w:rPr>
      </w:pPr>
      <w:r w:rsidRPr="00F15782">
        <w:rPr>
          <w:lang w:val="en-GB" w:eastAsia="en-US"/>
        </w:rPr>
        <w:t xml:space="preserve">The cumulative excess weight is then proportionally distributed across all Index Components whose initial weight </w:t>
      </w:r>
      <m:oMath>
        <m:sSubSup>
          <m:sSubSupPr>
            <m:ctrlPr>
              <w:rPr>
                <w:rFonts w:ascii="Cambria Math" w:hAnsi="Cambria Math"/>
                <w:i/>
                <w:lang w:eastAsia="en-US"/>
              </w:rPr>
            </m:ctrlPr>
          </m:sSubSupPr>
          <m:e>
            <m:r>
              <w:rPr>
                <w:rFonts w:ascii="Cambria Math" w:hAnsi="Cambria Math"/>
                <w:lang w:eastAsia="en-US"/>
              </w:rPr>
              <m:t>w</m:t>
            </m:r>
          </m:e>
          <m:sub>
            <m:r>
              <w:rPr>
                <w:rFonts w:ascii="Cambria Math" w:hAnsi="Cambria Math"/>
                <w:lang w:eastAsia="en-US"/>
              </w:rPr>
              <m:t>i</m:t>
            </m:r>
          </m:sub>
          <m:sup>
            <m:r>
              <w:rPr>
                <w:rFonts w:ascii="Cambria Math" w:hAnsi="Cambria Math"/>
                <w:lang w:val="en-GB" w:eastAsia="en-US"/>
              </w:rPr>
              <m:t>*</m:t>
            </m:r>
          </m:sup>
        </m:sSubSup>
      </m:oMath>
      <w:r w:rsidRPr="00F15782">
        <w:rPr>
          <w:lang w:val="en-GB" w:eastAsia="en-US"/>
        </w:rPr>
        <w:t xml:space="preserve">  is less than </w:t>
      </w:r>
      <m:oMath>
        <m:sSub>
          <m:sSubPr>
            <m:ctrlPr>
              <w:rPr>
                <w:rFonts w:ascii="Cambria Math" w:hAnsi="Cambria Math"/>
                <w:i/>
                <w:lang w:eastAsia="en-US"/>
              </w:rPr>
            </m:ctrlPr>
          </m:sSubPr>
          <m:e>
            <m:r>
              <w:rPr>
                <w:rFonts w:ascii="Cambria Math" w:hAnsi="Cambria Math"/>
                <w:lang w:eastAsia="en-US"/>
              </w:rPr>
              <m:t>w</m:t>
            </m:r>
          </m:e>
          <m:sub>
            <m:r>
              <w:rPr>
                <w:rFonts w:ascii="Cambria Math" w:hAnsi="Cambria Math"/>
                <w:lang w:eastAsia="en-US"/>
              </w:rPr>
              <m:t>i</m:t>
            </m:r>
            <m:r>
              <w:rPr>
                <w:rFonts w:ascii="Cambria Math" w:hAnsi="Cambria Math"/>
                <w:lang w:val="en-GB" w:eastAsia="en-US"/>
              </w:rPr>
              <m:t xml:space="preserve">, </m:t>
            </m:r>
            <m:r>
              <w:rPr>
                <w:rFonts w:ascii="Cambria Math" w:hAnsi="Cambria Math"/>
                <w:lang w:eastAsia="en-US"/>
              </w:rPr>
              <m:t>max</m:t>
            </m:r>
          </m:sub>
        </m:sSub>
      </m:oMath>
      <w:r w:rsidRPr="00F15782">
        <w:rPr>
          <w:lang w:val="en-GB" w:eastAsia="en-US"/>
        </w:rPr>
        <w:t xml:space="preserve"> such that the above maximum weight cap condition is fulfilled. This can be an iterative process until 100% weight is fully allocated and all conditions above are fulfilled.</w:t>
      </w:r>
      <w:bookmarkEnd w:id="4"/>
    </w:p>
    <w:p w14:paraId="19CB87CB" w14:textId="4BD01713" w:rsidR="00F15782" w:rsidRDefault="00F15782" w:rsidP="00F15782">
      <w:pPr>
        <w:spacing w:before="0" w:after="160" w:line="259" w:lineRule="auto"/>
        <w:jc w:val="left"/>
        <w:rPr>
          <w:lang w:val="en-GB" w:eastAsia="en-US"/>
        </w:rPr>
      </w:pPr>
    </w:p>
    <w:p w14:paraId="3080AA43" w14:textId="1BE6FA14" w:rsidR="00D75ED2" w:rsidRPr="007F3410" w:rsidRDefault="00DD3AB4" w:rsidP="007F3410">
      <w:pPr>
        <w:spacing w:before="0" w:after="160" w:line="259" w:lineRule="auto"/>
        <w:jc w:val="left"/>
        <w:rPr>
          <w:b/>
          <w:bCs/>
          <w:caps/>
          <w:lang w:val="en-GB" w:eastAsia="en-US"/>
        </w:rPr>
      </w:pPr>
      <w:r w:rsidRPr="00DD3AB4">
        <w:rPr>
          <w:b/>
          <w:bCs/>
          <w:lang w:val="en-GB" w:eastAsia="en-US"/>
        </w:rPr>
        <w:lastRenderedPageBreak/>
        <w:t>Section 3.1</w:t>
      </w:r>
      <w:r w:rsidR="00485D84">
        <w:rPr>
          <w:b/>
          <w:bCs/>
          <w:lang w:val="en-GB" w:eastAsia="en-US"/>
        </w:rPr>
        <w:t>:</w:t>
      </w:r>
      <w:r w:rsidR="00D75ED2">
        <w:rPr>
          <w:b/>
          <w:bCs/>
          <w:lang w:val="en-DE" w:eastAsia="en-US"/>
        </w:rPr>
        <w:t xml:space="preserve"> </w:t>
      </w:r>
      <w:bookmarkStart w:id="5" w:name="_Toc93501484"/>
      <w:r w:rsidR="00D75ED2" w:rsidRPr="007F3410">
        <w:rPr>
          <w:b/>
          <w:bCs/>
          <w:lang w:val="en-US" w:eastAsia="en-US"/>
        </w:rPr>
        <w:t>Ordinary Rebalance</w:t>
      </w:r>
      <w:bookmarkEnd w:id="5"/>
    </w:p>
    <w:p w14:paraId="24B24380" w14:textId="77777777" w:rsidR="00D75ED2" w:rsidRDefault="00D75ED2" w:rsidP="00F15782">
      <w:pPr>
        <w:spacing w:before="0" w:after="160" w:line="259" w:lineRule="auto"/>
        <w:jc w:val="left"/>
        <w:rPr>
          <w:b/>
          <w:bCs/>
          <w:lang w:val="en-GB" w:eastAsia="en-US"/>
        </w:rPr>
      </w:pPr>
    </w:p>
    <w:p w14:paraId="537033DF" w14:textId="6389F53E" w:rsidR="0007305E" w:rsidRDefault="0007305E" w:rsidP="00F15782">
      <w:pPr>
        <w:spacing w:before="0" w:after="160" w:line="259" w:lineRule="auto"/>
        <w:jc w:val="left"/>
        <w:rPr>
          <w:lang w:val="en-GB" w:eastAsia="en-US"/>
        </w:rPr>
      </w:pPr>
      <w:r w:rsidRPr="0007305E">
        <w:rPr>
          <w:lang w:val="en-GB" w:eastAsia="en-US"/>
        </w:rPr>
        <w:t>From:</w:t>
      </w:r>
    </w:p>
    <w:p w14:paraId="0A4B1475" w14:textId="77777777" w:rsidR="006421F5" w:rsidRDefault="006421F5" w:rsidP="006421F5">
      <w:pPr>
        <w:spacing w:before="0" w:after="160" w:line="259" w:lineRule="auto"/>
        <w:jc w:val="left"/>
        <w:rPr>
          <w:lang w:val="en-GB"/>
        </w:rPr>
      </w:pPr>
      <w:r>
        <w:rPr>
          <w:lang w:val="en-GB"/>
        </w:rPr>
        <w:t xml:space="preserve">[…] </w:t>
      </w:r>
    </w:p>
    <w:p w14:paraId="564CAFAE" w14:textId="3B52289F" w:rsidR="0007305E" w:rsidRDefault="0007305E" w:rsidP="00F15782">
      <w:pPr>
        <w:spacing w:before="0" w:after="160" w:line="259" w:lineRule="auto"/>
        <w:jc w:val="left"/>
        <w:rPr>
          <w:lang w:val="en-US" w:eastAsia="en-US"/>
        </w:rPr>
      </w:pPr>
      <w:r w:rsidRPr="0007305E">
        <w:rPr>
          <w:lang w:val="en-US" w:eastAsia="en-US"/>
        </w:rPr>
        <w:t xml:space="preserve">In addition, if the </w:t>
      </w:r>
      <w:r w:rsidR="006662BB" w:rsidRPr="006662BB">
        <w:rPr>
          <w:smallCaps/>
          <w:lang w:val="en-US" w:eastAsia="en-US"/>
        </w:rPr>
        <w:t>Index Administrator</w:t>
      </w:r>
      <w:r w:rsidR="006662BB" w:rsidRPr="0007305E">
        <w:rPr>
          <w:lang w:val="en-US" w:eastAsia="en-US"/>
        </w:rPr>
        <w:t xml:space="preserve"> </w:t>
      </w:r>
      <w:r w:rsidRPr="0007305E">
        <w:rPr>
          <w:lang w:val="en-US" w:eastAsia="en-US"/>
        </w:rPr>
        <w:t xml:space="preserve">determines that the </w:t>
      </w:r>
      <w:r w:rsidR="006662BB" w:rsidRPr="006662BB">
        <w:rPr>
          <w:smallCaps/>
          <w:lang w:val="en-US" w:eastAsia="en-US"/>
        </w:rPr>
        <w:t>Index</w:t>
      </w:r>
      <w:r w:rsidR="006662BB" w:rsidRPr="0007305E">
        <w:rPr>
          <w:lang w:val="en-US" w:eastAsia="en-US"/>
        </w:rPr>
        <w:t xml:space="preserve"> </w:t>
      </w:r>
      <w:r w:rsidRPr="0007305E">
        <w:rPr>
          <w:lang w:val="en-US" w:eastAsia="en-US"/>
        </w:rPr>
        <w:t xml:space="preserve">weight of any </w:t>
      </w:r>
      <w:r w:rsidR="006662BB" w:rsidRPr="006662BB">
        <w:rPr>
          <w:smallCaps/>
          <w:lang w:val="en-US" w:eastAsia="en-US"/>
        </w:rPr>
        <w:t>Index Component</w:t>
      </w:r>
      <w:r w:rsidR="006662BB" w:rsidRPr="0007305E">
        <w:rPr>
          <w:lang w:val="en-US" w:eastAsia="en-US"/>
        </w:rPr>
        <w:t xml:space="preserve"> </w:t>
      </w:r>
      <w:r w:rsidRPr="0007305E">
        <w:rPr>
          <w:lang w:val="en-US" w:eastAsia="en-US"/>
        </w:rPr>
        <w:t xml:space="preserve">is greater than 15% on any </w:t>
      </w:r>
      <w:r w:rsidR="006662BB" w:rsidRPr="006662BB">
        <w:rPr>
          <w:smallCaps/>
          <w:lang w:val="en-US" w:eastAsia="en-US"/>
        </w:rPr>
        <w:t>Review Day</w:t>
      </w:r>
      <w:r w:rsidRPr="0007305E">
        <w:rPr>
          <w:lang w:val="en-US" w:eastAsia="en-US"/>
        </w:rPr>
        <w:t xml:space="preserve">, then the </w:t>
      </w:r>
      <w:r w:rsidR="006662BB" w:rsidRPr="006662BB">
        <w:rPr>
          <w:smallCaps/>
          <w:lang w:val="en-US" w:eastAsia="en-US"/>
        </w:rPr>
        <w:t>Index</w:t>
      </w:r>
      <w:r w:rsidR="006662BB" w:rsidRPr="0007305E">
        <w:rPr>
          <w:lang w:val="en-US" w:eastAsia="en-US"/>
        </w:rPr>
        <w:t xml:space="preserve"> </w:t>
      </w:r>
      <w:r w:rsidRPr="0007305E">
        <w:rPr>
          <w:lang w:val="en-US" w:eastAsia="en-US"/>
        </w:rPr>
        <w:t xml:space="preserve">shall be reweighted on the </w:t>
      </w:r>
      <w:r w:rsidR="006662BB" w:rsidRPr="006662BB">
        <w:rPr>
          <w:smallCaps/>
          <w:lang w:val="en-US" w:eastAsia="en-US"/>
        </w:rPr>
        <w:t>Adjustment Day</w:t>
      </w:r>
      <w:r w:rsidR="006662BB" w:rsidRPr="0007305E">
        <w:rPr>
          <w:lang w:val="en-US" w:eastAsia="en-US"/>
        </w:rPr>
        <w:t xml:space="preserve"> </w:t>
      </w:r>
      <w:r w:rsidRPr="0007305E">
        <w:rPr>
          <w:lang w:val="en-US" w:eastAsia="en-US"/>
        </w:rPr>
        <w:t xml:space="preserve">that occurs immediately after such </w:t>
      </w:r>
      <w:r w:rsidR="006662BB" w:rsidRPr="006662BB">
        <w:rPr>
          <w:smallCaps/>
          <w:lang w:val="en-US" w:eastAsia="en-US"/>
        </w:rPr>
        <w:t>Review Day</w:t>
      </w:r>
      <w:r w:rsidR="006662BB" w:rsidRPr="0007305E">
        <w:rPr>
          <w:lang w:val="en-US" w:eastAsia="en-US"/>
        </w:rPr>
        <w:t xml:space="preserve"> </w:t>
      </w:r>
      <w:r w:rsidRPr="0007305E">
        <w:rPr>
          <w:lang w:val="en-US" w:eastAsia="en-US"/>
        </w:rPr>
        <w:t xml:space="preserve">according to section 2.3 WEIGHTING OF THE INDEX COMPONENTS. </w:t>
      </w:r>
      <w:r w:rsidR="006662BB" w:rsidRPr="00D6424F">
        <w:rPr>
          <w:smallCaps/>
          <w:lang w:val="en-US" w:eastAsia="en-US"/>
        </w:rPr>
        <w:t>Average Daily Value Traded</w:t>
      </w:r>
      <w:r w:rsidR="006662BB" w:rsidRPr="00A73332">
        <w:rPr>
          <w:lang w:val="en-GB"/>
        </w:rPr>
        <w:t xml:space="preserve"> </w:t>
      </w:r>
      <w:r w:rsidRPr="0007305E">
        <w:rPr>
          <w:lang w:val="en-US" w:eastAsia="en-US"/>
        </w:rPr>
        <w:t xml:space="preserve">relevant data will be based on the data available as of the </w:t>
      </w:r>
      <w:r w:rsidR="006662BB" w:rsidRPr="006662BB">
        <w:rPr>
          <w:smallCaps/>
          <w:lang w:val="en-US" w:eastAsia="en-US"/>
        </w:rPr>
        <w:t>Review Day</w:t>
      </w:r>
      <w:r w:rsidRPr="0007305E">
        <w:rPr>
          <w:lang w:val="en-US" w:eastAsia="en-US"/>
        </w:rPr>
        <w:t>.</w:t>
      </w:r>
    </w:p>
    <w:p w14:paraId="1693622A" w14:textId="77777777" w:rsidR="006421F5" w:rsidRDefault="006421F5" w:rsidP="006421F5">
      <w:pPr>
        <w:spacing w:before="0" w:after="160" w:line="259" w:lineRule="auto"/>
        <w:jc w:val="left"/>
        <w:rPr>
          <w:lang w:val="en-GB"/>
        </w:rPr>
      </w:pPr>
      <w:r>
        <w:rPr>
          <w:lang w:val="en-GB"/>
        </w:rPr>
        <w:t xml:space="preserve">[…] </w:t>
      </w:r>
    </w:p>
    <w:p w14:paraId="3CFB7A66" w14:textId="77777777" w:rsidR="006421F5" w:rsidRDefault="006421F5" w:rsidP="00F15782">
      <w:pPr>
        <w:spacing w:before="0" w:after="160" w:line="259" w:lineRule="auto"/>
        <w:jc w:val="left"/>
        <w:rPr>
          <w:lang w:val="en-US" w:eastAsia="en-US"/>
        </w:rPr>
      </w:pPr>
    </w:p>
    <w:p w14:paraId="21B59E27" w14:textId="569A1961" w:rsidR="0007305E" w:rsidRDefault="0007305E" w:rsidP="00F15782">
      <w:pPr>
        <w:spacing w:before="0" w:after="160" w:line="259" w:lineRule="auto"/>
        <w:jc w:val="left"/>
        <w:rPr>
          <w:b/>
          <w:bCs/>
          <w:u w:val="single"/>
          <w:lang w:val="en-US" w:eastAsia="en-US"/>
        </w:rPr>
      </w:pPr>
      <w:r w:rsidRPr="0007305E">
        <w:rPr>
          <w:b/>
          <w:bCs/>
          <w:u w:val="single"/>
          <w:lang w:val="en-US" w:eastAsia="en-US"/>
        </w:rPr>
        <w:t>To:</w:t>
      </w:r>
    </w:p>
    <w:p w14:paraId="7285C223" w14:textId="77777777" w:rsidR="006421F5" w:rsidRDefault="006421F5" w:rsidP="006421F5">
      <w:pPr>
        <w:spacing w:before="0" w:after="160" w:line="259" w:lineRule="auto"/>
        <w:jc w:val="left"/>
        <w:rPr>
          <w:lang w:val="en-GB"/>
        </w:rPr>
      </w:pPr>
      <w:r>
        <w:rPr>
          <w:lang w:val="en-GB"/>
        </w:rPr>
        <w:t xml:space="preserve">[…] </w:t>
      </w:r>
    </w:p>
    <w:p w14:paraId="76121024" w14:textId="61496BB1" w:rsidR="006662BB" w:rsidRDefault="006662BB" w:rsidP="006662BB">
      <w:pPr>
        <w:spacing w:before="0" w:after="160" w:line="259" w:lineRule="auto"/>
        <w:jc w:val="left"/>
        <w:rPr>
          <w:lang w:val="en-US" w:eastAsia="en-US"/>
        </w:rPr>
      </w:pPr>
      <w:r w:rsidRPr="0007305E">
        <w:rPr>
          <w:lang w:val="en-US" w:eastAsia="en-US"/>
        </w:rPr>
        <w:t xml:space="preserve">In addition, if the </w:t>
      </w:r>
      <w:r w:rsidRPr="006662BB">
        <w:rPr>
          <w:smallCaps/>
          <w:lang w:val="en-US" w:eastAsia="en-US"/>
        </w:rPr>
        <w:t>Index Administrator</w:t>
      </w:r>
      <w:r w:rsidRPr="0007305E">
        <w:rPr>
          <w:lang w:val="en-US" w:eastAsia="en-US"/>
        </w:rPr>
        <w:t xml:space="preserve"> determines that the </w:t>
      </w:r>
      <w:r w:rsidRPr="006662BB">
        <w:rPr>
          <w:smallCaps/>
          <w:lang w:val="en-US" w:eastAsia="en-US"/>
        </w:rPr>
        <w:t>Index</w:t>
      </w:r>
      <w:r w:rsidRPr="0007305E">
        <w:rPr>
          <w:lang w:val="en-US" w:eastAsia="en-US"/>
        </w:rPr>
        <w:t xml:space="preserve"> weight of any </w:t>
      </w:r>
      <w:r w:rsidRPr="006662BB">
        <w:rPr>
          <w:smallCaps/>
          <w:lang w:val="en-US" w:eastAsia="en-US"/>
        </w:rPr>
        <w:t>Index Component</w:t>
      </w:r>
      <w:r w:rsidRPr="0007305E">
        <w:rPr>
          <w:lang w:val="en-US" w:eastAsia="en-US"/>
        </w:rPr>
        <w:t xml:space="preserve"> is greater than 15% on any </w:t>
      </w:r>
      <w:r w:rsidRPr="006662BB">
        <w:rPr>
          <w:smallCaps/>
          <w:lang w:val="en-US" w:eastAsia="en-US"/>
        </w:rPr>
        <w:t>Review Day</w:t>
      </w:r>
      <w:r w:rsidRPr="0007305E">
        <w:rPr>
          <w:lang w:val="en-US" w:eastAsia="en-US"/>
        </w:rPr>
        <w:t xml:space="preserve">, then the </w:t>
      </w:r>
      <w:r w:rsidRPr="006662BB">
        <w:rPr>
          <w:smallCaps/>
          <w:lang w:val="en-US" w:eastAsia="en-US"/>
        </w:rPr>
        <w:t>Index</w:t>
      </w:r>
      <w:r w:rsidRPr="0007305E">
        <w:rPr>
          <w:lang w:val="en-US" w:eastAsia="en-US"/>
        </w:rPr>
        <w:t xml:space="preserve"> shall be reweighted on the </w:t>
      </w:r>
      <w:r w:rsidRPr="006662BB">
        <w:rPr>
          <w:smallCaps/>
          <w:lang w:val="en-US" w:eastAsia="en-US"/>
        </w:rPr>
        <w:t>Adjustment Day</w:t>
      </w:r>
      <w:r w:rsidRPr="0007305E">
        <w:rPr>
          <w:lang w:val="en-US" w:eastAsia="en-US"/>
        </w:rPr>
        <w:t xml:space="preserve"> that occurs immediately after such </w:t>
      </w:r>
      <w:r w:rsidRPr="006662BB">
        <w:rPr>
          <w:smallCaps/>
          <w:lang w:val="en-US" w:eastAsia="en-US"/>
        </w:rPr>
        <w:t>Review Day</w:t>
      </w:r>
      <w:r w:rsidRPr="0007305E">
        <w:rPr>
          <w:lang w:val="en-US" w:eastAsia="en-US"/>
        </w:rPr>
        <w:t xml:space="preserve"> according to section 2.3 WEIGHTING OF THE INDEX COMPONENTS. </w:t>
      </w:r>
      <w:r w:rsidRPr="00540147">
        <w:rPr>
          <w:lang w:val="en-US" w:eastAsia="en-US"/>
        </w:rPr>
        <w:t>All</w:t>
      </w:r>
      <w:r w:rsidRPr="00A73332">
        <w:rPr>
          <w:lang w:val="en-GB"/>
        </w:rPr>
        <w:t xml:space="preserve"> </w:t>
      </w:r>
      <w:r w:rsidRPr="0007305E">
        <w:rPr>
          <w:lang w:val="en-US" w:eastAsia="en-US"/>
        </w:rPr>
        <w:t xml:space="preserve">relevant data will be based on the data available as of the </w:t>
      </w:r>
      <w:r w:rsidRPr="006662BB">
        <w:rPr>
          <w:smallCaps/>
          <w:lang w:val="en-US" w:eastAsia="en-US"/>
        </w:rPr>
        <w:t>Review Day</w:t>
      </w:r>
      <w:r w:rsidRPr="0007305E">
        <w:rPr>
          <w:lang w:val="en-US" w:eastAsia="en-US"/>
        </w:rPr>
        <w:t>.</w:t>
      </w:r>
    </w:p>
    <w:p w14:paraId="709E2F79" w14:textId="77777777" w:rsidR="006421F5" w:rsidRDefault="006421F5" w:rsidP="006421F5">
      <w:pPr>
        <w:spacing w:before="0" w:after="160" w:line="259" w:lineRule="auto"/>
        <w:jc w:val="left"/>
        <w:rPr>
          <w:lang w:val="en-GB"/>
        </w:rPr>
      </w:pPr>
      <w:r>
        <w:rPr>
          <w:lang w:val="en-GB"/>
        </w:rPr>
        <w:t xml:space="preserve">[…] </w:t>
      </w:r>
    </w:p>
    <w:p w14:paraId="148E92B7" w14:textId="0E6B8D5B" w:rsidR="00F15782" w:rsidRDefault="00F15782" w:rsidP="00F15782">
      <w:pPr>
        <w:spacing w:before="0" w:after="160" w:line="259" w:lineRule="auto"/>
        <w:jc w:val="left"/>
        <w:rPr>
          <w:lang w:val="en-US" w:eastAsia="en-US"/>
        </w:rPr>
      </w:pPr>
    </w:p>
    <w:p w14:paraId="712ECAD0" w14:textId="07148D96" w:rsidR="00D75ED2" w:rsidRPr="007F3410" w:rsidRDefault="00F97BCF" w:rsidP="007F3410">
      <w:pPr>
        <w:spacing w:before="0" w:after="160" w:line="259" w:lineRule="auto"/>
        <w:jc w:val="left"/>
        <w:rPr>
          <w:b/>
          <w:bCs/>
          <w:lang w:val="en-US" w:eastAsia="en-US"/>
        </w:rPr>
      </w:pPr>
      <w:r w:rsidRPr="00F97BCF">
        <w:rPr>
          <w:b/>
          <w:bCs/>
          <w:lang w:val="en-US" w:eastAsia="en-US"/>
        </w:rPr>
        <w:t xml:space="preserve">Section </w:t>
      </w:r>
      <w:r>
        <w:rPr>
          <w:b/>
          <w:bCs/>
          <w:lang w:val="en-US" w:eastAsia="en-US"/>
        </w:rPr>
        <w:t>6</w:t>
      </w:r>
      <w:r w:rsidR="00485D84">
        <w:rPr>
          <w:b/>
          <w:bCs/>
          <w:lang w:val="en-US" w:eastAsia="en-US"/>
        </w:rPr>
        <w:t>:</w:t>
      </w:r>
      <w:r w:rsidR="00D75ED2">
        <w:rPr>
          <w:b/>
          <w:bCs/>
          <w:lang w:val="en-DE" w:eastAsia="en-US"/>
        </w:rPr>
        <w:t xml:space="preserve"> </w:t>
      </w:r>
      <w:bookmarkStart w:id="6" w:name="_Toc93501499"/>
      <w:r w:rsidR="00D75ED2" w:rsidRPr="007F3410">
        <w:rPr>
          <w:b/>
          <w:bCs/>
          <w:lang w:val="en-US" w:eastAsia="en-US"/>
        </w:rPr>
        <w:t>Definitions</w:t>
      </w:r>
      <w:bookmarkEnd w:id="6"/>
    </w:p>
    <w:p w14:paraId="4FE645B4" w14:textId="6BE76F02" w:rsidR="00F97BCF" w:rsidRDefault="000629D7" w:rsidP="00F15782">
      <w:pPr>
        <w:spacing w:before="0" w:after="160" w:line="259" w:lineRule="auto"/>
        <w:jc w:val="left"/>
        <w:rPr>
          <w:b/>
          <w:bCs/>
          <w:lang w:val="en-US" w:eastAsia="en-US"/>
        </w:rPr>
      </w:pPr>
      <w:r w:rsidRPr="000629D7">
        <w:rPr>
          <w:lang w:val="en-US" w:eastAsia="en-US"/>
        </w:rPr>
        <w:t>From:</w:t>
      </w:r>
    </w:p>
    <w:p w14:paraId="4DA5EE6A" w14:textId="77777777" w:rsidR="006421F5" w:rsidRDefault="006421F5" w:rsidP="006421F5">
      <w:pPr>
        <w:spacing w:before="0" w:after="160" w:line="259" w:lineRule="auto"/>
        <w:jc w:val="left"/>
        <w:rPr>
          <w:lang w:val="en-GB"/>
        </w:rPr>
      </w:pPr>
      <w:r>
        <w:rPr>
          <w:lang w:val="en-GB"/>
        </w:rPr>
        <w:t xml:space="preserve">[…] </w:t>
      </w:r>
    </w:p>
    <w:p w14:paraId="1D8F111E" w14:textId="6B610E29" w:rsidR="000629D7" w:rsidRPr="0060666F" w:rsidRDefault="000629D7" w:rsidP="000629D7">
      <w:pPr>
        <w:rPr>
          <w:rStyle w:val="Hyperlink"/>
          <w:rFonts w:eastAsiaTheme="majorEastAsia"/>
          <w:color w:val="auto"/>
          <w:lang w:val="en-US"/>
        </w:rPr>
      </w:pPr>
      <w:r w:rsidRPr="000629D7">
        <w:rPr>
          <w:rFonts w:ascii="Flama Semicondensed Medium" w:hAnsi="Flama Semicondensed Medium"/>
          <w:bCs/>
          <w:lang w:val="en-US"/>
        </w:rPr>
        <w:t>“</w:t>
      </w:r>
      <w:r w:rsidRPr="000629D7">
        <w:rPr>
          <w:rFonts w:ascii="Flama Semicondensed Medium" w:hAnsi="Flama Semicondensed Medium"/>
          <w:bCs/>
          <w:smallCaps/>
          <w:lang w:val="en-US"/>
        </w:rPr>
        <w:t xml:space="preserve">Data Provider </w:t>
      </w:r>
      <w:r>
        <w:rPr>
          <w:rFonts w:ascii="Flama Semicondensed Medium" w:hAnsi="Flama Semicondensed Medium"/>
          <w:bCs/>
          <w:smallCaps/>
          <w:lang w:val="en-US"/>
        </w:rPr>
        <w:t>1</w:t>
      </w:r>
      <w:r w:rsidRPr="000629D7">
        <w:rPr>
          <w:rFonts w:ascii="Flama Semicondensed Medium" w:hAnsi="Flama Semicondensed Medium"/>
          <w:bCs/>
          <w:lang w:val="en-US"/>
        </w:rPr>
        <w:t>”</w:t>
      </w:r>
      <w:r w:rsidRPr="000629D7">
        <w:rPr>
          <w:b/>
          <w:lang w:val="en-US"/>
        </w:rPr>
        <w:t xml:space="preserve"> </w:t>
      </w:r>
      <w:r w:rsidRPr="000629D7">
        <w:rPr>
          <w:lang w:val="en-US"/>
        </w:rPr>
        <w:t xml:space="preserve">is GlobalData. </w:t>
      </w:r>
      <w:r w:rsidRPr="004E2CCC">
        <w:rPr>
          <w:lang w:val="en-US"/>
        </w:rPr>
        <w:t>For more information, please</w:t>
      </w:r>
      <w:r w:rsidRPr="0060666F">
        <w:rPr>
          <w:lang w:val="en-US"/>
        </w:rPr>
        <w:t xml:space="preserve"> visit: </w:t>
      </w:r>
      <w:hyperlink r:id="rId13" w:history="1">
        <w:r w:rsidRPr="0060666F">
          <w:rPr>
            <w:rStyle w:val="Hyperlink"/>
            <w:rFonts w:eastAsiaTheme="majorEastAsia"/>
            <w:color w:val="auto"/>
            <w:lang w:val="en-US"/>
          </w:rPr>
          <w:t>https://www.globaldata.com/</w:t>
        </w:r>
      </w:hyperlink>
      <w:r w:rsidRPr="0060666F">
        <w:rPr>
          <w:rStyle w:val="Hyperlink"/>
          <w:rFonts w:eastAsiaTheme="majorEastAsia"/>
          <w:color w:val="auto"/>
          <w:lang w:val="en-US"/>
        </w:rPr>
        <w:t>.</w:t>
      </w:r>
      <w:r>
        <w:rPr>
          <w:rStyle w:val="Hyperlink"/>
          <w:rFonts w:eastAsiaTheme="majorEastAsia"/>
          <w:color w:val="auto"/>
          <w:lang w:val="en-US"/>
        </w:rPr>
        <w:t xml:space="preserve"> </w:t>
      </w:r>
      <w:r w:rsidRPr="007B7435">
        <w:rPr>
          <w:lang w:val="en-US"/>
        </w:rPr>
        <w:t>"</w:t>
      </w:r>
      <w:r w:rsidRPr="007B7435">
        <w:rPr>
          <w:smallCaps/>
          <w:lang w:val="en-US"/>
        </w:rPr>
        <w:t xml:space="preserve">Data Provider </w:t>
      </w:r>
      <w:r>
        <w:rPr>
          <w:smallCaps/>
          <w:lang w:val="en-US"/>
        </w:rPr>
        <w:t>1</w:t>
      </w:r>
      <w:r w:rsidRPr="007B7435">
        <w:rPr>
          <w:lang w:val="en-US"/>
        </w:rPr>
        <w:t xml:space="preserve">'s thematic research tracks companies based on their involvement in specific themes. These include companies that are engaged in any part of the value chain of a specific theme. </w:t>
      </w:r>
      <w:r w:rsidRPr="007B7435">
        <w:rPr>
          <w:smallCaps/>
          <w:lang w:val="en-US"/>
        </w:rPr>
        <w:t>Data Provider </w:t>
      </w:r>
      <w:r>
        <w:rPr>
          <w:smallCaps/>
          <w:lang w:val="en-US"/>
        </w:rPr>
        <w:t>I</w:t>
      </w:r>
      <w:r w:rsidRPr="007B7435">
        <w:rPr>
          <w:lang w:val="en-US"/>
        </w:rPr>
        <w:t>'s analysts scan companies across multiple sectors to identify the ones that are involved in activities relevant to the theme. The selected companies include those for which the theme is expected to have a significant impact on their performance in the future.</w:t>
      </w:r>
    </w:p>
    <w:p w14:paraId="173CA99B" w14:textId="3326C8A2" w:rsidR="00F97BCF" w:rsidRDefault="000629D7" w:rsidP="006421F5">
      <w:pPr>
        <w:rPr>
          <w:rStyle w:val="Hyperlink"/>
          <w:rFonts w:eastAsiaTheme="majorEastAsia"/>
          <w:color w:val="auto"/>
          <w:lang w:val="en-US"/>
        </w:rPr>
      </w:pPr>
      <w:r w:rsidRPr="0060666F">
        <w:rPr>
          <w:rFonts w:ascii="Flama Semicondensed Medium" w:hAnsi="Flama Semicondensed Medium"/>
          <w:bCs/>
          <w:lang w:val="en-US"/>
        </w:rPr>
        <w:t>“</w:t>
      </w:r>
      <w:r w:rsidRPr="0060666F">
        <w:rPr>
          <w:rFonts w:ascii="Flama Semicondensed Medium" w:hAnsi="Flama Semicondensed Medium"/>
          <w:bCs/>
          <w:smallCaps/>
          <w:lang w:val="en-US"/>
        </w:rPr>
        <w:t xml:space="preserve">Data Provider </w:t>
      </w:r>
      <w:r>
        <w:rPr>
          <w:rFonts w:ascii="Flama Semicondensed Medium" w:hAnsi="Flama Semicondensed Medium"/>
          <w:bCs/>
          <w:smallCaps/>
          <w:lang w:val="en-US"/>
        </w:rPr>
        <w:t>2</w:t>
      </w:r>
      <w:r w:rsidRPr="0060666F">
        <w:rPr>
          <w:rFonts w:ascii="Flama Semicondensed Medium" w:hAnsi="Flama Semicondensed Medium"/>
          <w:bCs/>
          <w:lang w:val="en-US"/>
        </w:rPr>
        <w:t>”</w:t>
      </w:r>
      <w:r w:rsidRPr="0060666F">
        <w:rPr>
          <w:b/>
          <w:lang w:val="en-US"/>
        </w:rPr>
        <w:t xml:space="preserve"> </w:t>
      </w:r>
      <w:r w:rsidRPr="0060666F">
        <w:rPr>
          <w:lang w:val="en-US"/>
        </w:rPr>
        <w:t xml:space="preserve">is </w:t>
      </w:r>
      <w:proofErr w:type="spellStart"/>
      <w:r w:rsidRPr="0060666F">
        <w:rPr>
          <w:lang w:val="en-US"/>
        </w:rPr>
        <w:t>Sustainalytics</w:t>
      </w:r>
      <w:proofErr w:type="spellEnd"/>
      <w:r w:rsidRPr="0060666F">
        <w:rPr>
          <w:lang w:val="en-US"/>
        </w:rPr>
        <w:t xml:space="preserve">. For more information, please </w:t>
      </w:r>
      <w:r w:rsidRPr="004E2CCC">
        <w:rPr>
          <w:lang w:val="en-US"/>
        </w:rPr>
        <w:t>visit:</w:t>
      </w:r>
      <w:r>
        <w:rPr>
          <w:lang w:val="en-US"/>
        </w:rPr>
        <w:t xml:space="preserve"> </w:t>
      </w:r>
      <w:hyperlink r:id="rId14" w:history="1">
        <w:r w:rsidR="006421F5" w:rsidRPr="00170867">
          <w:rPr>
            <w:rStyle w:val="Hyperlink"/>
            <w:lang w:val="en-US"/>
          </w:rPr>
          <w:t>https://www.sustainalytics.com/</w:t>
        </w:r>
      </w:hyperlink>
      <w:r w:rsidR="006421F5">
        <w:rPr>
          <w:rStyle w:val="Hyperlink"/>
          <w:rFonts w:eastAsiaTheme="majorEastAsia"/>
          <w:color w:val="auto"/>
          <w:lang w:val="en-US"/>
        </w:rPr>
        <w:t>.</w:t>
      </w:r>
    </w:p>
    <w:p w14:paraId="027DE780" w14:textId="77777777" w:rsidR="006421F5" w:rsidRDefault="006421F5" w:rsidP="006421F5">
      <w:pPr>
        <w:spacing w:before="0" w:after="160" w:line="259" w:lineRule="auto"/>
        <w:jc w:val="left"/>
        <w:rPr>
          <w:lang w:val="en-GB"/>
        </w:rPr>
      </w:pPr>
      <w:r>
        <w:rPr>
          <w:lang w:val="en-GB"/>
        </w:rPr>
        <w:t xml:space="preserve">[…] </w:t>
      </w:r>
    </w:p>
    <w:p w14:paraId="7DC6D98F" w14:textId="50954B05" w:rsidR="000629D7" w:rsidRDefault="000629D7" w:rsidP="00F15782">
      <w:pPr>
        <w:spacing w:before="0" w:after="160" w:line="259" w:lineRule="auto"/>
        <w:jc w:val="left"/>
        <w:rPr>
          <w:lang w:val="en-US" w:eastAsia="en-US"/>
        </w:rPr>
      </w:pPr>
    </w:p>
    <w:p w14:paraId="386DD295" w14:textId="49C02DA6" w:rsidR="000629D7" w:rsidRDefault="000629D7" w:rsidP="00F15782">
      <w:pPr>
        <w:spacing w:before="0" w:after="160" w:line="259" w:lineRule="auto"/>
        <w:jc w:val="left"/>
        <w:rPr>
          <w:b/>
          <w:bCs/>
          <w:u w:val="single"/>
          <w:lang w:val="en-US" w:eastAsia="en-US"/>
        </w:rPr>
      </w:pPr>
      <w:r w:rsidRPr="000629D7">
        <w:rPr>
          <w:b/>
          <w:bCs/>
          <w:u w:val="single"/>
          <w:lang w:val="en-US" w:eastAsia="en-US"/>
        </w:rPr>
        <w:t>To:</w:t>
      </w:r>
    </w:p>
    <w:p w14:paraId="6C17F447" w14:textId="77777777" w:rsidR="006421F5" w:rsidRDefault="006421F5" w:rsidP="006421F5">
      <w:pPr>
        <w:spacing w:before="0" w:after="160" w:line="259" w:lineRule="auto"/>
        <w:jc w:val="left"/>
        <w:rPr>
          <w:lang w:val="en-GB"/>
        </w:rPr>
      </w:pPr>
      <w:r>
        <w:rPr>
          <w:lang w:val="en-GB"/>
        </w:rPr>
        <w:lastRenderedPageBreak/>
        <w:t xml:space="preserve">[…] </w:t>
      </w:r>
    </w:p>
    <w:p w14:paraId="21D5A588" w14:textId="77777777" w:rsidR="000629D7" w:rsidRPr="0060666F" w:rsidRDefault="000629D7" w:rsidP="000629D7">
      <w:pPr>
        <w:rPr>
          <w:rStyle w:val="Hyperlink"/>
          <w:rFonts w:eastAsiaTheme="majorEastAsia"/>
          <w:color w:val="auto"/>
          <w:lang w:val="en-US"/>
        </w:rPr>
      </w:pPr>
      <w:r w:rsidRPr="007F3410">
        <w:rPr>
          <w:rFonts w:ascii="Flama Semicondensed Medium" w:hAnsi="Flama Semicondensed Medium"/>
          <w:bCs/>
          <w:lang w:val="en-US"/>
        </w:rPr>
        <w:t>“</w:t>
      </w:r>
      <w:r w:rsidRPr="007F3410">
        <w:rPr>
          <w:rFonts w:ascii="Flama Semicondensed Medium" w:hAnsi="Flama Semicondensed Medium"/>
          <w:bCs/>
          <w:smallCaps/>
          <w:lang w:val="en-US"/>
        </w:rPr>
        <w:t>Data Provider I</w:t>
      </w:r>
      <w:r w:rsidRPr="007F3410">
        <w:rPr>
          <w:rFonts w:ascii="Flama Semicondensed Medium" w:hAnsi="Flama Semicondensed Medium"/>
          <w:bCs/>
          <w:lang w:val="en-US"/>
        </w:rPr>
        <w:t>”</w:t>
      </w:r>
      <w:r w:rsidRPr="007F3410">
        <w:rPr>
          <w:b/>
          <w:lang w:val="en-US"/>
        </w:rPr>
        <w:t xml:space="preserve"> </w:t>
      </w:r>
      <w:r w:rsidRPr="007F3410">
        <w:rPr>
          <w:lang w:val="en-US"/>
        </w:rPr>
        <w:t xml:space="preserve">is GlobalData. </w:t>
      </w:r>
      <w:r w:rsidRPr="004E2CCC">
        <w:rPr>
          <w:lang w:val="en-US"/>
        </w:rPr>
        <w:t>For more information, please</w:t>
      </w:r>
      <w:r w:rsidRPr="0060666F">
        <w:rPr>
          <w:lang w:val="en-US"/>
        </w:rPr>
        <w:t xml:space="preserve"> visit: </w:t>
      </w:r>
      <w:hyperlink r:id="rId15" w:history="1">
        <w:r w:rsidRPr="0060666F">
          <w:rPr>
            <w:rStyle w:val="Hyperlink"/>
            <w:rFonts w:eastAsiaTheme="majorEastAsia"/>
            <w:color w:val="auto"/>
            <w:lang w:val="en-US"/>
          </w:rPr>
          <w:t>https://www.globaldata.com/</w:t>
        </w:r>
      </w:hyperlink>
      <w:r w:rsidRPr="0060666F">
        <w:rPr>
          <w:rStyle w:val="Hyperlink"/>
          <w:rFonts w:eastAsiaTheme="majorEastAsia"/>
          <w:color w:val="auto"/>
          <w:lang w:val="en-US"/>
        </w:rPr>
        <w:t>.</w:t>
      </w:r>
      <w:r>
        <w:rPr>
          <w:rStyle w:val="Hyperlink"/>
          <w:rFonts w:eastAsiaTheme="majorEastAsia"/>
          <w:color w:val="auto"/>
          <w:lang w:val="en-US"/>
        </w:rPr>
        <w:t xml:space="preserve"> </w:t>
      </w:r>
      <w:r w:rsidRPr="007B7435">
        <w:rPr>
          <w:lang w:val="en-US"/>
        </w:rPr>
        <w:t>"</w:t>
      </w:r>
      <w:r w:rsidRPr="007B7435">
        <w:rPr>
          <w:smallCaps/>
          <w:lang w:val="en-US"/>
        </w:rPr>
        <w:t xml:space="preserve">Data Provider </w:t>
      </w:r>
      <w:r>
        <w:rPr>
          <w:smallCaps/>
          <w:lang w:val="en-US"/>
        </w:rPr>
        <w:t>I</w:t>
      </w:r>
      <w:r w:rsidRPr="007B7435">
        <w:rPr>
          <w:lang w:val="en-US"/>
        </w:rPr>
        <w:t xml:space="preserve">'s thematic research tracks companies based on their involvement in specific themes. These include companies that are engaged in any part of the value chain of a specific theme. </w:t>
      </w:r>
      <w:r w:rsidRPr="007B7435">
        <w:rPr>
          <w:smallCaps/>
          <w:lang w:val="en-US"/>
        </w:rPr>
        <w:t>Data Provider </w:t>
      </w:r>
      <w:r>
        <w:rPr>
          <w:smallCaps/>
          <w:lang w:val="en-US"/>
        </w:rPr>
        <w:t>I</w:t>
      </w:r>
      <w:r w:rsidRPr="007B7435">
        <w:rPr>
          <w:lang w:val="en-US"/>
        </w:rPr>
        <w:t>'s analysts scan companies across multiple sectors to identify the ones that are involved in activities relevant to the theme. The selected companies include those for which the theme is expected to have a significant impact on their performance in the future.</w:t>
      </w:r>
    </w:p>
    <w:p w14:paraId="43BC1746" w14:textId="74441802" w:rsidR="000629D7" w:rsidRDefault="000629D7" w:rsidP="006421F5">
      <w:pPr>
        <w:rPr>
          <w:rStyle w:val="Hyperlink"/>
          <w:rFonts w:eastAsiaTheme="majorEastAsia"/>
          <w:color w:val="auto"/>
          <w:lang w:val="en-US"/>
        </w:rPr>
      </w:pPr>
      <w:r w:rsidRPr="0060666F">
        <w:rPr>
          <w:rFonts w:ascii="Flama Semicondensed Medium" w:hAnsi="Flama Semicondensed Medium"/>
          <w:bCs/>
          <w:lang w:val="en-US"/>
        </w:rPr>
        <w:t>“</w:t>
      </w:r>
      <w:r w:rsidRPr="0060666F">
        <w:rPr>
          <w:rFonts w:ascii="Flama Semicondensed Medium" w:hAnsi="Flama Semicondensed Medium"/>
          <w:bCs/>
          <w:smallCaps/>
          <w:lang w:val="en-US"/>
        </w:rPr>
        <w:t xml:space="preserve">Data Provider </w:t>
      </w:r>
      <w:r>
        <w:rPr>
          <w:rFonts w:ascii="Flama Semicondensed Medium" w:hAnsi="Flama Semicondensed Medium"/>
          <w:bCs/>
          <w:smallCaps/>
          <w:lang w:val="en-US"/>
        </w:rPr>
        <w:t>II</w:t>
      </w:r>
      <w:r w:rsidRPr="0060666F">
        <w:rPr>
          <w:rFonts w:ascii="Flama Semicondensed Medium" w:hAnsi="Flama Semicondensed Medium"/>
          <w:bCs/>
          <w:lang w:val="en-US"/>
        </w:rPr>
        <w:t>”</w:t>
      </w:r>
      <w:r w:rsidRPr="0060666F">
        <w:rPr>
          <w:b/>
          <w:lang w:val="en-US"/>
        </w:rPr>
        <w:t xml:space="preserve"> </w:t>
      </w:r>
      <w:r w:rsidRPr="0060666F">
        <w:rPr>
          <w:lang w:val="en-US"/>
        </w:rPr>
        <w:t xml:space="preserve">is </w:t>
      </w:r>
      <w:proofErr w:type="spellStart"/>
      <w:r w:rsidRPr="0060666F">
        <w:rPr>
          <w:lang w:val="en-US"/>
        </w:rPr>
        <w:t>Sustainalytics</w:t>
      </w:r>
      <w:proofErr w:type="spellEnd"/>
      <w:r w:rsidRPr="0060666F">
        <w:rPr>
          <w:lang w:val="en-US"/>
        </w:rPr>
        <w:t xml:space="preserve">. For more information, please </w:t>
      </w:r>
      <w:r w:rsidRPr="004E2CCC">
        <w:rPr>
          <w:lang w:val="en-US"/>
        </w:rPr>
        <w:t>visit:</w:t>
      </w:r>
      <w:r>
        <w:rPr>
          <w:lang w:val="en-US"/>
        </w:rPr>
        <w:t xml:space="preserve"> </w:t>
      </w:r>
      <w:hyperlink r:id="rId16" w:history="1">
        <w:r w:rsidR="006421F5" w:rsidRPr="00170867">
          <w:rPr>
            <w:rStyle w:val="Hyperlink"/>
            <w:lang w:val="en-US"/>
          </w:rPr>
          <w:t>https://www.sustainalytics.com/</w:t>
        </w:r>
      </w:hyperlink>
      <w:r w:rsidRPr="000C0FE6">
        <w:rPr>
          <w:rStyle w:val="Hyperlink"/>
          <w:rFonts w:eastAsiaTheme="majorEastAsia"/>
          <w:color w:val="auto"/>
          <w:lang w:val="en-US"/>
        </w:rPr>
        <w:t>.</w:t>
      </w:r>
    </w:p>
    <w:p w14:paraId="45365659" w14:textId="779F0677" w:rsidR="00B56FB0" w:rsidRDefault="006421F5" w:rsidP="002663E0">
      <w:pPr>
        <w:spacing w:before="0" w:after="160" w:line="259" w:lineRule="auto"/>
        <w:jc w:val="left"/>
        <w:rPr>
          <w:lang w:val="en-GB"/>
        </w:rPr>
      </w:pPr>
      <w:r>
        <w:rPr>
          <w:lang w:val="en-GB"/>
        </w:rPr>
        <w:t xml:space="preserve">[…] </w:t>
      </w:r>
    </w:p>
    <w:p w14:paraId="2AC80A7A" w14:textId="013F328B" w:rsidR="000F172E" w:rsidRDefault="000F172E" w:rsidP="002663E0">
      <w:pPr>
        <w:spacing w:before="0" w:after="160" w:line="259" w:lineRule="auto"/>
        <w:jc w:val="left"/>
        <w:rPr>
          <w:lang w:val="en-GB"/>
        </w:rPr>
      </w:pPr>
    </w:p>
    <w:p w14:paraId="70829ECA" w14:textId="5E12903C" w:rsidR="00BA6ED4" w:rsidRDefault="00BA6ED4" w:rsidP="002663E0">
      <w:pPr>
        <w:spacing w:before="0" w:after="160" w:line="259" w:lineRule="auto"/>
        <w:jc w:val="left"/>
        <w:rPr>
          <w:lang w:val="en-GB"/>
        </w:rPr>
      </w:pPr>
    </w:p>
    <w:p w14:paraId="093445E9" w14:textId="356AB5A4" w:rsidR="00BA6ED4" w:rsidRDefault="00BA6ED4" w:rsidP="002663E0">
      <w:pPr>
        <w:spacing w:before="0" w:after="160" w:line="259" w:lineRule="auto"/>
        <w:jc w:val="left"/>
        <w:rPr>
          <w:lang w:val="en-GB"/>
        </w:rPr>
      </w:pPr>
    </w:p>
    <w:p w14:paraId="59C71EAE" w14:textId="46F0EBB4" w:rsidR="00BA6ED4" w:rsidRDefault="00BA6ED4" w:rsidP="002663E0">
      <w:pPr>
        <w:spacing w:before="0" w:after="160" w:line="259" w:lineRule="auto"/>
        <w:jc w:val="left"/>
        <w:rPr>
          <w:lang w:val="en-GB"/>
        </w:rPr>
      </w:pPr>
    </w:p>
    <w:p w14:paraId="238F20D9" w14:textId="44EBF11C" w:rsidR="00BA6ED4" w:rsidRDefault="00BA6ED4" w:rsidP="002663E0">
      <w:pPr>
        <w:spacing w:before="0" w:after="160" w:line="259" w:lineRule="auto"/>
        <w:jc w:val="left"/>
        <w:rPr>
          <w:lang w:val="en-GB"/>
        </w:rPr>
      </w:pPr>
    </w:p>
    <w:p w14:paraId="2A8D9591" w14:textId="14AF9FB7" w:rsidR="00BA6ED4" w:rsidRDefault="00BA6ED4" w:rsidP="002663E0">
      <w:pPr>
        <w:spacing w:before="0" w:after="160" w:line="259" w:lineRule="auto"/>
        <w:jc w:val="left"/>
        <w:rPr>
          <w:lang w:val="en-GB"/>
        </w:rPr>
      </w:pPr>
    </w:p>
    <w:p w14:paraId="308EE043" w14:textId="743E2754" w:rsidR="00BA6ED4" w:rsidRDefault="00BA6ED4" w:rsidP="002663E0">
      <w:pPr>
        <w:spacing w:before="0" w:after="160" w:line="259" w:lineRule="auto"/>
        <w:jc w:val="left"/>
        <w:rPr>
          <w:lang w:val="en-GB"/>
        </w:rPr>
      </w:pPr>
    </w:p>
    <w:p w14:paraId="0F77BC2D" w14:textId="7F7ACB28" w:rsidR="00BA6ED4" w:rsidRDefault="00BA6ED4" w:rsidP="002663E0">
      <w:pPr>
        <w:spacing w:before="0" w:after="160" w:line="259" w:lineRule="auto"/>
        <w:jc w:val="left"/>
        <w:rPr>
          <w:lang w:val="en-GB"/>
        </w:rPr>
      </w:pPr>
    </w:p>
    <w:p w14:paraId="24D0C24E" w14:textId="77BAFF14" w:rsidR="00BA6ED4" w:rsidRDefault="00BA6ED4" w:rsidP="002663E0">
      <w:pPr>
        <w:spacing w:before="0" w:after="160" w:line="259" w:lineRule="auto"/>
        <w:jc w:val="left"/>
        <w:rPr>
          <w:lang w:val="en-GB"/>
        </w:rPr>
      </w:pPr>
    </w:p>
    <w:p w14:paraId="5BD88CD0" w14:textId="1D9EECCB" w:rsidR="00BA6ED4" w:rsidRDefault="00BA6ED4" w:rsidP="002663E0">
      <w:pPr>
        <w:spacing w:before="0" w:after="160" w:line="259" w:lineRule="auto"/>
        <w:jc w:val="left"/>
        <w:rPr>
          <w:lang w:val="en-GB"/>
        </w:rPr>
      </w:pPr>
    </w:p>
    <w:p w14:paraId="74EEEA6E" w14:textId="0CA47121" w:rsidR="00BA6ED4" w:rsidRDefault="00BA6ED4" w:rsidP="002663E0">
      <w:pPr>
        <w:spacing w:before="0" w:after="160" w:line="259" w:lineRule="auto"/>
        <w:jc w:val="left"/>
        <w:rPr>
          <w:lang w:val="en-GB"/>
        </w:rPr>
      </w:pPr>
    </w:p>
    <w:p w14:paraId="1B94B983" w14:textId="339D84BF" w:rsidR="00BA6ED4" w:rsidRDefault="00BA6ED4" w:rsidP="002663E0">
      <w:pPr>
        <w:spacing w:before="0" w:after="160" w:line="259" w:lineRule="auto"/>
        <w:jc w:val="left"/>
        <w:rPr>
          <w:lang w:val="en-GB"/>
        </w:rPr>
      </w:pPr>
    </w:p>
    <w:p w14:paraId="3CFA6908" w14:textId="6D9C22FB" w:rsidR="00BA6ED4" w:rsidRDefault="00BA6ED4" w:rsidP="002663E0">
      <w:pPr>
        <w:spacing w:before="0" w:after="160" w:line="259" w:lineRule="auto"/>
        <w:jc w:val="left"/>
        <w:rPr>
          <w:lang w:val="en-GB"/>
        </w:rPr>
      </w:pPr>
    </w:p>
    <w:p w14:paraId="19F6F78A" w14:textId="32832274" w:rsidR="00BA6ED4" w:rsidRDefault="00BA6ED4" w:rsidP="002663E0">
      <w:pPr>
        <w:spacing w:before="0" w:after="160" w:line="259" w:lineRule="auto"/>
        <w:jc w:val="left"/>
        <w:rPr>
          <w:lang w:val="en-GB"/>
        </w:rPr>
      </w:pPr>
    </w:p>
    <w:p w14:paraId="6BCD9441" w14:textId="48BD72D4" w:rsidR="00BA6ED4" w:rsidRDefault="00BA6ED4" w:rsidP="002663E0">
      <w:pPr>
        <w:spacing w:before="0" w:after="160" w:line="259" w:lineRule="auto"/>
        <w:jc w:val="left"/>
        <w:rPr>
          <w:lang w:val="en-GB"/>
        </w:rPr>
      </w:pPr>
    </w:p>
    <w:p w14:paraId="26EB1A8A" w14:textId="2465ECB6" w:rsidR="00BA6ED4" w:rsidRDefault="00BA6ED4" w:rsidP="002663E0">
      <w:pPr>
        <w:spacing w:before="0" w:after="160" w:line="259" w:lineRule="auto"/>
        <w:jc w:val="left"/>
        <w:rPr>
          <w:lang w:val="en-GB"/>
        </w:rPr>
      </w:pPr>
    </w:p>
    <w:p w14:paraId="7536CE04" w14:textId="528A6FBB" w:rsidR="00BA6ED4" w:rsidRDefault="00BA6ED4" w:rsidP="002663E0">
      <w:pPr>
        <w:spacing w:before="0" w:after="160" w:line="259" w:lineRule="auto"/>
        <w:jc w:val="left"/>
        <w:rPr>
          <w:lang w:val="en-GB"/>
        </w:rPr>
      </w:pPr>
    </w:p>
    <w:p w14:paraId="23ED3193" w14:textId="5D93A9AB" w:rsidR="00BA6ED4" w:rsidRDefault="00BA6ED4" w:rsidP="002663E0">
      <w:pPr>
        <w:spacing w:before="0" w:after="160" w:line="259" w:lineRule="auto"/>
        <w:jc w:val="left"/>
        <w:rPr>
          <w:lang w:val="en-GB"/>
        </w:rPr>
      </w:pPr>
    </w:p>
    <w:p w14:paraId="04E0FA17" w14:textId="45E6E639" w:rsidR="00BA6ED4" w:rsidRDefault="00BA6ED4" w:rsidP="002663E0">
      <w:pPr>
        <w:spacing w:before="0" w:after="160" w:line="259" w:lineRule="auto"/>
        <w:jc w:val="left"/>
        <w:rPr>
          <w:lang w:val="en-GB"/>
        </w:rPr>
      </w:pPr>
    </w:p>
    <w:p w14:paraId="461AF671" w14:textId="136D2FCF" w:rsidR="00BA6ED4" w:rsidRDefault="00BA6ED4" w:rsidP="002663E0">
      <w:pPr>
        <w:spacing w:before="0" w:after="160" w:line="259" w:lineRule="auto"/>
        <w:jc w:val="left"/>
        <w:rPr>
          <w:lang w:val="en-GB"/>
        </w:rPr>
      </w:pPr>
    </w:p>
    <w:p w14:paraId="57B57F43" w14:textId="77777777" w:rsidR="004524D0" w:rsidRDefault="004524D0" w:rsidP="004524D0">
      <w:pPr>
        <w:pStyle w:val="Heading1"/>
        <w:rPr>
          <w:lang w:val="en-US" w:eastAsia="en-US"/>
        </w:rPr>
      </w:pPr>
      <w:bookmarkStart w:id="7" w:name="_Toc93501501"/>
      <w:r>
        <w:rPr>
          <w:lang w:val="en-US" w:eastAsia="en-US"/>
        </w:rPr>
        <w:lastRenderedPageBreak/>
        <w:t>Annex B</w:t>
      </w:r>
      <w:bookmarkEnd w:id="7"/>
    </w:p>
    <w:p w14:paraId="68E003CE" w14:textId="77777777" w:rsidR="004524D0" w:rsidRDefault="004524D0" w:rsidP="004524D0">
      <w:pPr>
        <w:spacing w:before="0" w:after="160" w:line="259" w:lineRule="auto"/>
        <w:jc w:val="left"/>
        <w:rPr>
          <w:lang w:val="en-US"/>
        </w:rPr>
      </w:pPr>
      <w:r>
        <w:rPr>
          <w:lang w:val="en-US"/>
        </w:rPr>
        <w:t>As of February 2022 the following inclusion criteria for the categories below were applicable.</w:t>
      </w:r>
    </w:p>
    <w:p w14:paraId="74FEE733" w14:textId="77777777" w:rsidR="004524D0" w:rsidRDefault="004524D0" w:rsidP="004524D0">
      <w:pPr>
        <w:spacing w:before="0" w:after="160" w:line="259" w:lineRule="auto"/>
        <w:jc w:val="left"/>
        <w:rPr>
          <w:lang w:val="en-US"/>
        </w:rPr>
      </w:pPr>
      <w:r>
        <w:rPr>
          <w:lang w:val="en-US"/>
        </w:rPr>
        <w:t>Please refer to the most recent document available under the URL as specified in section ‘2.1. Index Universe Requirements’ above for the most recent applicable categories and inclusion criteria.</w:t>
      </w:r>
    </w:p>
    <w:p w14:paraId="71F888E9" w14:textId="77777777" w:rsidR="004524D0" w:rsidRDefault="004524D0" w:rsidP="004524D0">
      <w:pPr>
        <w:spacing w:before="0" w:after="160" w:line="259" w:lineRule="auto"/>
        <w:jc w:val="left"/>
        <w:rPr>
          <w:lang w:val="en-US"/>
        </w:rPr>
      </w:pPr>
    </w:p>
    <w:tbl>
      <w:tblPr>
        <w:tblStyle w:val="TableGrid"/>
        <w:tblW w:w="9056" w:type="dxa"/>
        <w:tblInd w:w="592" w:type="dxa"/>
        <w:tblBorders>
          <w:top w:val="single" w:sz="4" w:space="0" w:color="000000"/>
          <w:left w:val="none" w:sz="0" w:space="0" w:color="auto"/>
          <w:bottom w:val="single" w:sz="4" w:space="0" w:color="000000"/>
          <w:right w:val="none" w:sz="0" w:space="0" w:color="auto"/>
          <w:insideH w:val="single" w:sz="4" w:space="0" w:color="000000"/>
          <w:insideV w:val="none" w:sz="0" w:space="0" w:color="auto"/>
        </w:tblBorders>
        <w:tblLook w:val="04A0" w:firstRow="1" w:lastRow="0" w:firstColumn="1" w:lastColumn="0" w:noHBand="0" w:noVBand="1"/>
      </w:tblPr>
      <w:tblGrid>
        <w:gridCol w:w="4528"/>
        <w:gridCol w:w="4528"/>
      </w:tblGrid>
      <w:tr w:rsidR="004524D0" w14:paraId="4F557FAC" w14:textId="77777777" w:rsidTr="0010382A">
        <w:trPr>
          <w:trHeight w:val="144"/>
        </w:trPr>
        <w:tc>
          <w:tcPr>
            <w:tcW w:w="4528" w:type="dxa"/>
          </w:tcPr>
          <w:p w14:paraId="66A9365F" w14:textId="77777777" w:rsidR="004524D0" w:rsidRPr="00376A2A" w:rsidRDefault="004524D0" w:rsidP="0010382A">
            <w:pPr>
              <w:spacing w:before="0" w:after="0"/>
              <w:jc w:val="left"/>
              <w:rPr>
                <w:b/>
                <w:bCs/>
                <w:lang w:val="en-US" w:eastAsia="en-US"/>
              </w:rPr>
            </w:pPr>
            <w:r>
              <w:rPr>
                <w:b/>
                <w:bCs/>
                <w:lang w:val="en-US" w:eastAsia="en-US"/>
              </w:rPr>
              <w:t>Categories</w:t>
            </w:r>
          </w:p>
        </w:tc>
        <w:tc>
          <w:tcPr>
            <w:tcW w:w="4528" w:type="dxa"/>
          </w:tcPr>
          <w:p w14:paraId="0497D1BA" w14:textId="77777777" w:rsidR="004524D0" w:rsidRPr="00376A2A" w:rsidRDefault="004524D0" w:rsidP="0010382A">
            <w:pPr>
              <w:spacing w:before="0" w:after="0"/>
              <w:jc w:val="left"/>
              <w:rPr>
                <w:b/>
                <w:bCs/>
                <w:lang w:val="en-US" w:eastAsia="en-US"/>
              </w:rPr>
            </w:pPr>
            <w:r w:rsidRPr="00376A2A">
              <w:rPr>
                <w:b/>
                <w:bCs/>
                <w:lang w:val="en-US" w:eastAsia="en-US"/>
              </w:rPr>
              <w:t xml:space="preserve">Inclusion </w:t>
            </w:r>
            <w:r>
              <w:rPr>
                <w:b/>
                <w:bCs/>
                <w:lang w:val="en-US" w:eastAsia="en-US"/>
              </w:rPr>
              <w:t>C</w:t>
            </w:r>
            <w:r w:rsidRPr="00376A2A">
              <w:rPr>
                <w:b/>
                <w:bCs/>
                <w:lang w:val="en-US" w:eastAsia="en-US"/>
              </w:rPr>
              <w:t>riterion</w:t>
            </w:r>
          </w:p>
        </w:tc>
      </w:tr>
      <w:tr w:rsidR="004524D0" w:rsidRPr="000B68AF" w14:paraId="38488AD2" w14:textId="77777777" w:rsidTr="0010382A">
        <w:trPr>
          <w:trHeight w:val="144"/>
        </w:trPr>
        <w:tc>
          <w:tcPr>
            <w:tcW w:w="4528" w:type="dxa"/>
          </w:tcPr>
          <w:p w14:paraId="1E0FBEAE" w14:textId="77777777" w:rsidR="004524D0" w:rsidRPr="0009546C" w:rsidRDefault="004524D0" w:rsidP="0010382A">
            <w:pPr>
              <w:spacing w:before="0" w:after="0"/>
              <w:jc w:val="left"/>
              <w:rPr>
                <w:lang w:val="en-US" w:eastAsia="en-US"/>
              </w:rPr>
            </w:pPr>
            <w:r w:rsidRPr="00376A2A">
              <w:rPr>
                <w:lang w:val="en-US"/>
              </w:rPr>
              <w:t xml:space="preserve">Established norms around Environment, Human Rights, Corruption and </w:t>
            </w:r>
            <w:proofErr w:type="spellStart"/>
            <w:r w:rsidRPr="00376A2A">
              <w:rPr>
                <w:lang w:val="en-US"/>
              </w:rPr>
              <w:t>Labour</w:t>
            </w:r>
            <w:proofErr w:type="spellEnd"/>
            <w:r w:rsidRPr="00376A2A">
              <w:rPr>
                <w:lang w:val="en-US"/>
              </w:rPr>
              <w:t xml:space="preserve"> Rights</w:t>
            </w:r>
          </w:p>
        </w:tc>
        <w:tc>
          <w:tcPr>
            <w:tcW w:w="4528" w:type="dxa"/>
          </w:tcPr>
          <w:p w14:paraId="5D12E0D7" w14:textId="77777777" w:rsidR="004524D0" w:rsidRPr="0009546C" w:rsidRDefault="004524D0" w:rsidP="0010382A">
            <w:pPr>
              <w:spacing w:before="0" w:after="0"/>
              <w:jc w:val="left"/>
              <w:rPr>
                <w:lang w:val="en-US" w:eastAsia="en-US"/>
              </w:rPr>
            </w:pPr>
            <w:r w:rsidRPr="00376A2A">
              <w:rPr>
                <w:lang w:val="en-US"/>
              </w:rPr>
              <w:t>Non-Compliance with the UNGC</w:t>
            </w:r>
          </w:p>
        </w:tc>
      </w:tr>
      <w:tr w:rsidR="004524D0" w14:paraId="120A88A6" w14:textId="77777777" w:rsidTr="0010382A">
        <w:trPr>
          <w:trHeight w:val="144"/>
        </w:trPr>
        <w:tc>
          <w:tcPr>
            <w:tcW w:w="4528" w:type="dxa"/>
          </w:tcPr>
          <w:p w14:paraId="520277A6" w14:textId="77777777" w:rsidR="004524D0" w:rsidRDefault="004524D0" w:rsidP="0010382A">
            <w:pPr>
              <w:spacing w:before="0" w:after="0"/>
              <w:jc w:val="left"/>
              <w:rPr>
                <w:lang w:val="en-US" w:eastAsia="en-US"/>
              </w:rPr>
            </w:pPr>
            <w:r>
              <w:rPr>
                <w:lang w:val="en-US" w:eastAsia="en-US"/>
              </w:rPr>
              <w:t>Controversy</w:t>
            </w:r>
          </w:p>
        </w:tc>
        <w:tc>
          <w:tcPr>
            <w:tcW w:w="4528" w:type="dxa"/>
          </w:tcPr>
          <w:p w14:paraId="43B50195" w14:textId="77777777" w:rsidR="004524D0" w:rsidRDefault="004524D0" w:rsidP="0010382A">
            <w:pPr>
              <w:spacing w:before="0" w:after="0"/>
              <w:jc w:val="left"/>
              <w:rPr>
                <w:lang w:val="en-US" w:eastAsia="en-US"/>
              </w:rPr>
            </w:pPr>
            <w:r>
              <w:rPr>
                <w:lang w:val="en-US" w:eastAsia="en-US"/>
              </w:rPr>
              <w:t>Controversies with the Level 5</w:t>
            </w:r>
          </w:p>
        </w:tc>
      </w:tr>
      <w:tr w:rsidR="004524D0" w:rsidRPr="000B68AF" w14:paraId="311DFC29" w14:textId="77777777" w:rsidTr="0010382A">
        <w:trPr>
          <w:trHeight w:val="144"/>
        </w:trPr>
        <w:tc>
          <w:tcPr>
            <w:tcW w:w="4528" w:type="dxa"/>
          </w:tcPr>
          <w:p w14:paraId="392901C7" w14:textId="77777777" w:rsidR="004524D0" w:rsidRDefault="004524D0" w:rsidP="0010382A">
            <w:pPr>
              <w:spacing w:before="0" w:after="0"/>
              <w:jc w:val="left"/>
              <w:rPr>
                <w:lang w:val="en-US" w:eastAsia="en-US"/>
              </w:rPr>
            </w:pPr>
            <w:r>
              <w:rPr>
                <w:lang w:val="en-US" w:eastAsia="en-US"/>
              </w:rPr>
              <w:t>Tobacco</w:t>
            </w:r>
          </w:p>
        </w:tc>
        <w:tc>
          <w:tcPr>
            <w:tcW w:w="4528" w:type="dxa"/>
          </w:tcPr>
          <w:p w14:paraId="7535EEFB" w14:textId="77777777" w:rsidR="004524D0" w:rsidRDefault="004524D0" w:rsidP="0010382A">
            <w:pPr>
              <w:spacing w:before="0" w:after="0"/>
              <w:jc w:val="left"/>
              <w:rPr>
                <w:lang w:val="en-US" w:eastAsia="en-US"/>
              </w:rPr>
            </w:pPr>
            <w:r>
              <w:rPr>
                <w:lang w:val="en-US" w:eastAsia="en-US"/>
              </w:rPr>
              <w:t>(5% Production &lt;OR&gt; 5% Retail &lt;OR&gt; 5% Related Products/Services)*</w:t>
            </w:r>
          </w:p>
        </w:tc>
      </w:tr>
      <w:tr w:rsidR="004524D0" w:rsidRPr="000B68AF" w14:paraId="595F3F91" w14:textId="77777777" w:rsidTr="0010382A">
        <w:trPr>
          <w:trHeight w:val="144"/>
        </w:trPr>
        <w:tc>
          <w:tcPr>
            <w:tcW w:w="4528" w:type="dxa"/>
          </w:tcPr>
          <w:p w14:paraId="665F76CD" w14:textId="77777777" w:rsidR="004524D0" w:rsidRDefault="004524D0" w:rsidP="0010382A">
            <w:pPr>
              <w:spacing w:before="0" w:after="0"/>
              <w:jc w:val="left"/>
              <w:rPr>
                <w:lang w:val="en-US" w:eastAsia="en-US"/>
              </w:rPr>
            </w:pPr>
            <w:r>
              <w:rPr>
                <w:lang w:val="en-US" w:eastAsia="en-US"/>
              </w:rPr>
              <w:t>Defense – Weapons</w:t>
            </w:r>
          </w:p>
        </w:tc>
        <w:tc>
          <w:tcPr>
            <w:tcW w:w="4528" w:type="dxa"/>
          </w:tcPr>
          <w:p w14:paraId="775D825E" w14:textId="03A99B35" w:rsidR="004524D0" w:rsidRDefault="004524D0" w:rsidP="0010382A">
            <w:pPr>
              <w:spacing w:before="0" w:after="0"/>
              <w:jc w:val="left"/>
              <w:rPr>
                <w:lang w:val="en-US" w:eastAsia="en-US"/>
              </w:rPr>
            </w:pPr>
            <w:r>
              <w:rPr>
                <w:lang w:val="en-US" w:eastAsia="en-US"/>
              </w:rPr>
              <w:t>(10% Military Contracting Weapons &lt;OR&gt; 10% Military Contracting Weapons – Related Products</w:t>
            </w:r>
            <w:r w:rsidR="00B11B7C">
              <w:rPr>
                <w:lang w:val="en-US" w:eastAsia="en-US"/>
              </w:rPr>
              <w:t>/Services</w:t>
            </w:r>
            <w:r>
              <w:rPr>
                <w:lang w:val="en-US" w:eastAsia="en-US"/>
              </w:rPr>
              <w:t>)*</w:t>
            </w:r>
          </w:p>
        </w:tc>
      </w:tr>
      <w:tr w:rsidR="004524D0" w:rsidRPr="000B68AF" w14:paraId="097E59D5" w14:textId="77777777" w:rsidTr="0010382A">
        <w:trPr>
          <w:trHeight w:val="144"/>
        </w:trPr>
        <w:tc>
          <w:tcPr>
            <w:tcW w:w="4528" w:type="dxa"/>
          </w:tcPr>
          <w:p w14:paraId="36167B69" w14:textId="77777777" w:rsidR="004524D0" w:rsidRDefault="004524D0" w:rsidP="0010382A">
            <w:pPr>
              <w:spacing w:before="0" w:after="0"/>
              <w:jc w:val="left"/>
              <w:rPr>
                <w:lang w:val="en-US" w:eastAsia="en-US"/>
              </w:rPr>
            </w:pPr>
            <w:r>
              <w:rPr>
                <w:lang w:val="en-US" w:eastAsia="en-US"/>
              </w:rPr>
              <w:t>Defense – Controversial Weapons</w:t>
            </w:r>
          </w:p>
        </w:tc>
        <w:tc>
          <w:tcPr>
            <w:tcW w:w="4528" w:type="dxa"/>
          </w:tcPr>
          <w:p w14:paraId="17894DE7" w14:textId="77777777" w:rsidR="004524D0" w:rsidRDefault="004524D0" w:rsidP="0010382A">
            <w:pPr>
              <w:spacing w:before="0" w:after="0"/>
              <w:jc w:val="left"/>
              <w:rPr>
                <w:lang w:val="en-US" w:eastAsia="en-US"/>
              </w:rPr>
            </w:pPr>
            <w:r>
              <w:rPr>
                <w:lang w:val="en-US" w:eastAsia="en-US"/>
              </w:rPr>
              <w:t>Any direct Involvement or Any indirect Involvement through corporate ownership</w:t>
            </w:r>
          </w:p>
        </w:tc>
      </w:tr>
      <w:tr w:rsidR="004524D0" w:rsidRPr="000B68AF" w14:paraId="646B2157" w14:textId="77777777" w:rsidTr="0010382A">
        <w:trPr>
          <w:trHeight w:val="144"/>
        </w:trPr>
        <w:tc>
          <w:tcPr>
            <w:tcW w:w="4528" w:type="dxa"/>
          </w:tcPr>
          <w:p w14:paraId="4F48FBB9" w14:textId="77777777" w:rsidR="004524D0" w:rsidRDefault="004524D0" w:rsidP="0010382A">
            <w:pPr>
              <w:spacing w:before="0" w:after="0"/>
              <w:jc w:val="left"/>
              <w:rPr>
                <w:lang w:val="en-US" w:eastAsia="en-US"/>
              </w:rPr>
            </w:pPr>
            <w:r>
              <w:rPr>
                <w:lang w:val="en-US" w:eastAsia="en-US"/>
              </w:rPr>
              <w:t>Coal</w:t>
            </w:r>
          </w:p>
        </w:tc>
        <w:tc>
          <w:tcPr>
            <w:tcW w:w="4528" w:type="dxa"/>
          </w:tcPr>
          <w:p w14:paraId="3DEDBCA7" w14:textId="77777777" w:rsidR="004524D0" w:rsidRDefault="004524D0" w:rsidP="0010382A">
            <w:pPr>
              <w:spacing w:before="0" w:after="0"/>
              <w:jc w:val="left"/>
              <w:rPr>
                <w:lang w:val="en-US" w:eastAsia="en-US"/>
              </w:rPr>
            </w:pPr>
            <w:r>
              <w:rPr>
                <w:lang w:val="en-US" w:eastAsia="en-US"/>
              </w:rPr>
              <w:t>(30% Thermal Coal Extraction &lt;OR&gt; 30% Power Generation &lt;OR&gt; 30% Supporting Products/Services)*</w:t>
            </w:r>
          </w:p>
        </w:tc>
      </w:tr>
      <w:tr w:rsidR="004524D0" w14:paraId="62C5FBED" w14:textId="77777777" w:rsidTr="0010382A">
        <w:trPr>
          <w:trHeight w:val="144"/>
        </w:trPr>
        <w:tc>
          <w:tcPr>
            <w:tcW w:w="4528" w:type="dxa"/>
          </w:tcPr>
          <w:p w14:paraId="7CEAFC2A" w14:textId="77777777" w:rsidR="004524D0" w:rsidRDefault="004524D0" w:rsidP="0010382A">
            <w:pPr>
              <w:spacing w:before="0" w:after="0"/>
              <w:jc w:val="left"/>
              <w:rPr>
                <w:lang w:val="en-US" w:eastAsia="en-US"/>
              </w:rPr>
            </w:pPr>
            <w:r>
              <w:rPr>
                <w:lang w:val="en-US" w:eastAsia="en-US"/>
              </w:rPr>
              <w:t>Conventional Oil &amp; Gas</w:t>
            </w:r>
          </w:p>
        </w:tc>
        <w:tc>
          <w:tcPr>
            <w:tcW w:w="4528" w:type="dxa"/>
          </w:tcPr>
          <w:p w14:paraId="5DD8D73C" w14:textId="77777777" w:rsidR="004524D0" w:rsidRDefault="004524D0" w:rsidP="0010382A">
            <w:pPr>
              <w:spacing w:before="0" w:after="0"/>
              <w:jc w:val="left"/>
              <w:rPr>
                <w:lang w:val="en-US" w:eastAsia="en-US"/>
              </w:rPr>
            </w:pPr>
            <w:r>
              <w:rPr>
                <w:lang w:val="en-US" w:eastAsia="en-US"/>
              </w:rPr>
              <w:t>25% Production*</w:t>
            </w:r>
          </w:p>
        </w:tc>
      </w:tr>
      <w:tr w:rsidR="004524D0" w:rsidRPr="000B68AF" w14:paraId="37083D51" w14:textId="77777777" w:rsidTr="0010382A">
        <w:trPr>
          <w:trHeight w:val="144"/>
        </w:trPr>
        <w:tc>
          <w:tcPr>
            <w:tcW w:w="9056" w:type="dxa"/>
            <w:gridSpan w:val="2"/>
          </w:tcPr>
          <w:p w14:paraId="605E98D9" w14:textId="77777777" w:rsidR="004524D0" w:rsidRDefault="004524D0" w:rsidP="0010382A">
            <w:pPr>
              <w:spacing w:before="0" w:after="0"/>
              <w:jc w:val="left"/>
              <w:rPr>
                <w:lang w:val="en-US" w:eastAsia="en-US"/>
              </w:rPr>
            </w:pPr>
            <w:r>
              <w:rPr>
                <w:lang w:val="en-US" w:eastAsia="en-US"/>
              </w:rPr>
              <w:t xml:space="preserve">Note: </w:t>
            </w:r>
          </w:p>
          <w:p w14:paraId="281AB04C" w14:textId="77777777" w:rsidR="004524D0" w:rsidRPr="00AB7D1E" w:rsidRDefault="004524D0" w:rsidP="004524D0">
            <w:pPr>
              <w:pStyle w:val="ListParagraph"/>
              <w:numPr>
                <w:ilvl w:val="0"/>
                <w:numId w:val="26"/>
              </w:numPr>
              <w:spacing w:before="0" w:after="0"/>
              <w:jc w:val="left"/>
              <w:rPr>
                <w:lang w:val="en-US" w:eastAsia="en-US"/>
              </w:rPr>
            </w:pPr>
            <w:r w:rsidRPr="00AB7D1E">
              <w:rPr>
                <w:lang w:val="en-US" w:eastAsia="en-US"/>
              </w:rPr>
              <w:t>% figures refer to revenue threshold (for degree of involvement). The criterion is fulfilled if involvement is equal to or above such threshold.</w:t>
            </w:r>
          </w:p>
          <w:p w14:paraId="22EA29EE" w14:textId="77777777" w:rsidR="004524D0" w:rsidRPr="00AB7D1E" w:rsidRDefault="004524D0" w:rsidP="004524D0">
            <w:pPr>
              <w:pStyle w:val="ListParagraph"/>
              <w:numPr>
                <w:ilvl w:val="0"/>
                <w:numId w:val="26"/>
              </w:numPr>
              <w:spacing w:before="0" w:after="0"/>
              <w:jc w:val="left"/>
              <w:rPr>
                <w:lang w:val="en-US" w:eastAsia="en-US"/>
              </w:rPr>
            </w:pPr>
            <w:r w:rsidRPr="00AB7D1E">
              <w:rPr>
                <w:lang w:val="en-US" w:eastAsia="en-US"/>
              </w:rPr>
              <w:t xml:space="preserve">The terminology used in the table above is specific to the </w:t>
            </w:r>
            <w:r w:rsidRPr="00E70B18">
              <w:rPr>
                <w:smallCaps/>
                <w:lang w:val="en-US" w:eastAsia="en-US"/>
              </w:rPr>
              <w:t>Data Provider</w:t>
            </w:r>
            <w:r w:rsidRPr="00AB7D1E">
              <w:rPr>
                <w:b/>
                <w:bCs/>
                <w:smallCaps/>
                <w:lang w:val="en-US" w:eastAsia="en-US"/>
              </w:rPr>
              <w:t xml:space="preserve"> </w:t>
            </w:r>
            <w:r w:rsidRPr="00913E16">
              <w:rPr>
                <w:smallCaps/>
                <w:lang w:val="en-US" w:eastAsia="en-US"/>
              </w:rPr>
              <w:t>II</w:t>
            </w:r>
            <w:r>
              <w:rPr>
                <w:b/>
                <w:bCs/>
                <w:smallCaps/>
                <w:lang w:val="en-US" w:eastAsia="en-US"/>
              </w:rPr>
              <w:t xml:space="preserve"> </w:t>
            </w:r>
            <w:r w:rsidRPr="00AB7D1E">
              <w:rPr>
                <w:lang w:val="en-US" w:eastAsia="en-US"/>
              </w:rPr>
              <w:t>and may change from time to time.</w:t>
            </w:r>
          </w:p>
          <w:p w14:paraId="0C574C88" w14:textId="77777777" w:rsidR="004524D0" w:rsidRPr="00AB7D1E" w:rsidRDefault="004524D0" w:rsidP="0010382A">
            <w:pPr>
              <w:spacing w:before="0" w:after="0"/>
              <w:jc w:val="left"/>
              <w:rPr>
                <w:lang w:val="en-US" w:eastAsia="en-US"/>
              </w:rPr>
            </w:pPr>
          </w:p>
          <w:p w14:paraId="0C1FB24F" w14:textId="77777777" w:rsidR="004524D0" w:rsidRDefault="004524D0" w:rsidP="0010382A">
            <w:pPr>
              <w:spacing w:before="0" w:after="0"/>
              <w:jc w:val="left"/>
              <w:rPr>
                <w:lang w:val="en-US" w:eastAsia="en-US"/>
              </w:rPr>
            </w:pPr>
            <w:r>
              <w:rPr>
                <w:lang w:val="en-US" w:eastAsia="en-US"/>
              </w:rPr>
              <w:t>*this includes significant corporate ownership (were a company holds a stake greater than 50% in an involved company, the revenues of the involved company are attributed to the company).</w:t>
            </w:r>
          </w:p>
        </w:tc>
      </w:tr>
    </w:tbl>
    <w:p w14:paraId="5225243E" w14:textId="34C22921" w:rsidR="004524D0" w:rsidRDefault="004524D0" w:rsidP="004524D0">
      <w:pPr>
        <w:rPr>
          <w:lang w:val="en-US" w:eastAsia="en-US"/>
        </w:rPr>
      </w:pPr>
    </w:p>
    <w:p w14:paraId="6D044EA6" w14:textId="77777777" w:rsidR="004E28A7" w:rsidRDefault="004E28A7" w:rsidP="004E28A7">
      <w:pPr>
        <w:rPr>
          <w:lang w:val="en-US" w:eastAsia="en-US"/>
        </w:rPr>
      </w:pPr>
      <w:r>
        <w:rPr>
          <w:lang w:val="en-US" w:eastAsia="en-US"/>
        </w:rPr>
        <w:t xml:space="preserve">Any company included in the </w:t>
      </w:r>
      <w:r w:rsidRPr="00CF58DD">
        <w:rPr>
          <w:smallCaps/>
          <w:lang w:val="en-US" w:eastAsia="en-US"/>
        </w:rPr>
        <w:t xml:space="preserve">Index Universe </w:t>
      </w:r>
      <w:r>
        <w:rPr>
          <w:lang w:val="en-US" w:eastAsia="en-US"/>
        </w:rPr>
        <w:t xml:space="preserve">which fulfills any of the </w:t>
      </w:r>
      <w:r w:rsidRPr="00506615">
        <w:rPr>
          <w:lang w:val="en-US" w:eastAsia="en-US"/>
        </w:rPr>
        <w:t>criteria</w:t>
      </w:r>
      <w:r>
        <w:rPr>
          <w:lang w:val="en-US" w:eastAsia="en-US"/>
        </w:rPr>
        <w:t xml:space="preserve"> set out above shall be a component of the </w:t>
      </w:r>
      <w:bookmarkStart w:id="8" w:name="_Hlk93338160"/>
      <w:r>
        <w:rPr>
          <w:rFonts w:ascii="Flama Semicondensed Medium" w:eastAsia="Calibri" w:hAnsi="Flama Semicondensed Medium"/>
          <w:smallCaps/>
          <w:lang w:val="en-US" w:eastAsia="en-US"/>
        </w:rPr>
        <w:t>ESG Exclusions Index I</w:t>
      </w:r>
      <w:bookmarkEnd w:id="8"/>
      <w:r>
        <w:rPr>
          <w:lang w:val="en-US" w:eastAsia="en-US"/>
        </w:rPr>
        <w:t xml:space="preserve">. The primary listing for each company is selected as </w:t>
      </w:r>
      <w:r w:rsidRPr="007C66F9">
        <w:rPr>
          <w:smallCaps/>
          <w:lang w:val="en-US" w:eastAsia="en-US"/>
        </w:rPr>
        <w:t>Index Component</w:t>
      </w:r>
      <w:r>
        <w:rPr>
          <w:smallCaps/>
          <w:lang w:val="en-US" w:eastAsia="en-US"/>
        </w:rPr>
        <w:t>.</w:t>
      </w:r>
    </w:p>
    <w:p w14:paraId="17B099AD" w14:textId="594A171C" w:rsidR="004E28A7" w:rsidRDefault="004E28A7" w:rsidP="004E28A7">
      <w:pPr>
        <w:rPr>
          <w:lang w:val="en-US" w:eastAsia="en-US"/>
        </w:rPr>
      </w:pPr>
      <w:r>
        <w:rPr>
          <w:lang w:val="en-US" w:eastAsia="en-US"/>
        </w:rPr>
        <w:t xml:space="preserve">For the avoidance of doubt, any company for which an evaluation of the criteria is not possible due to the non-availability of relevant data with the </w:t>
      </w:r>
      <w:r w:rsidRPr="00CF58DD">
        <w:rPr>
          <w:smallCaps/>
          <w:lang w:val="en-US" w:eastAsia="en-US"/>
        </w:rPr>
        <w:t>Data Provider</w:t>
      </w:r>
      <w:r>
        <w:rPr>
          <w:smallCaps/>
          <w:lang w:val="en-US" w:eastAsia="en-US"/>
        </w:rPr>
        <w:t xml:space="preserve"> II</w:t>
      </w:r>
      <w:r>
        <w:rPr>
          <w:lang w:val="en-US" w:eastAsia="en-US"/>
        </w:rPr>
        <w:t xml:space="preserve">, shall not be a component of the </w:t>
      </w:r>
      <w:r>
        <w:rPr>
          <w:rFonts w:ascii="Flama Semicondensed Medium" w:eastAsia="Calibri" w:hAnsi="Flama Semicondensed Medium"/>
          <w:smallCaps/>
          <w:lang w:val="en-US" w:eastAsia="en-US"/>
        </w:rPr>
        <w:t>ESG Exclusions Index I</w:t>
      </w:r>
      <w:r>
        <w:rPr>
          <w:lang w:val="en-US" w:eastAsia="en-US"/>
        </w:rPr>
        <w:t>.</w:t>
      </w:r>
    </w:p>
    <w:p w14:paraId="5ECFDB1C" w14:textId="1CB3FD53" w:rsidR="00BA6ED4" w:rsidRDefault="00BA6ED4" w:rsidP="002663E0">
      <w:pPr>
        <w:spacing w:before="0" w:after="160" w:line="259" w:lineRule="auto"/>
        <w:jc w:val="left"/>
        <w:rPr>
          <w:lang w:val="en-US"/>
        </w:rPr>
      </w:pPr>
    </w:p>
    <w:p w14:paraId="6EF39B8C" w14:textId="77777777" w:rsidR="004E28A7" w:rsidRDefault="004E28A7" w:rsidP="004E28A7">
      <w:pPr>
        <w:pStyle w:val="Heading1"/>
        <w:rPr>
          <w:lang w:val="en-US"/>
        </w:rPr>
      </w:pPr>
      <w:bookmarkStart w:id="9" w:name="_Toc93501502"/>
      <w:r>
        <w:rPr>
          <w:lang w:val="en-US" w:eastAsia="en-US"/>
        </w:rPr>
        <w:lastRenderedPageBreak/>
        <w:t>Annex C</w:t>
      </w:r>
      <w:bookmarkEnd w:id="9"/>
      <w:r>
        <w:rPr>
          <w:lang w:val="en-US"/>
        </w:rPr>
        <w:t xml:space="preserve"> </w:t>
      </w:r>
    </w:p>
    <w:p w14:paraId="12A331B7" w14:textId="77777777" w:rsidR="004E28A7" w:rsidRDefault="004E28A7" w:rsidP="004E28A7">
      <w:pPr>
        <w:spacing w:before="0" w:after="160" w:line="259" w:lineRule="auto"/>
        <w:jc w:val="left"/>
        <w:rPr>
          <w:lang w:val="en-US"/>
        </w:rPr>
      </w:pPr>
      <w:r>
        <w:rPr>
          <w:lang w:val="en-US"/>
        </w:rPr>
        <w:t xml:space="preserve">Name of the ETF used to determine the </w:t>
      </w:r>
      <w:proofErr w:type="spellStart"/>
      <w:r>
        <w:rPr>
          <w:lang w:val="en-US"/>
        </w:rPr>
        <w:t>AuM</w:t>
      </w:r>
      <w:proofErr w:type="spellEnd"/>
      <w:r>
        <w:rPr>
          <w:lang w:val="en-US"/>
        </w:rPr>
        <w:t xml:space="preserve">: </w:t>
      </w:r>
    </w:p>
    <w:p w14:paraId="400A0E0D" w14:textId="19B6E3AB" w:rsidR="00B11B7C" w:rsidRDefault="004E28A7" w:rsidP="004E28A7">
      <w:pPr>
        <w:spacing w:before="0" w:after="160" w:line="259" w:lineRule="auto"/>
        <w:jc w:val="left"/>
        <w:rPr>
          <w:lang w:val="en-US"/>
        </w:rPr>
      </w:pPr>
      <w:r>
        <w:rPr>
          <w:lang w:val="en-US"/>
        </w:rPr>
        <w:t xml:space="preserve">L&amp;G Hydrogen Economy UCITS ETF, ISIN: </w:t>
      </w:r>
      <w:r w:rsidRPr="007721C9">
        <w:rPr>
          <w:lang w:val="en-US"/>
        </w:rPr>
        <w:t>IE00BMYDM794</w:t>
      </w:r>
    </w:p>
    <w:p w14:paraId="49643035" w14:textId="239A3699" w:rsidR="00B11B7C" w:rsidRDefault="00B11B7C" w:rsidP="002663E0">
      <w:pPr>
        <w:spacing w:before="0" w:after="160" w:line="259" w:lineRule="auto"/>
        <w:jc w:val="left"/>
        <w:rPr>
          <w:lang w:val="en-US"/>
        </w:rPr>
      </w:pPr>
    </w:p>
    <w:p w14:paraId="6E2D6126" w14:textId="5DF4D947" w:rsidR="00B11B7C" w:rsidRDefault="00B11B7C" w:rsidP="002663E0">
      <w:pPr>
        <w:spacing w:before="0" w:after="160" w:line="259" w:lineRule="auto"/>
        <w:jc w:val="left"/>
        <w:rPr>
          <w:lang w:val="en-US"/>
        </w:rPr>
      </w:pPr>
    </w:p>
    <w:p w14:paraId="154056FB" w14:textId="60559B05" w:rsidR="00B11B7C" w:rsidRDefault="00B11B7C" w:rsidP="002663E0">
      <w:pPr>
        <w:spacing w:before="0" w:after="160" w:line="259" w:lineRule="auto"/>
        <w:jc w:val="left"/>
        <w:rPr>
          <w:lang w:val="en-US"/>
        </w:rPr>
      </w:pPr>
    </w:p>
    <w:p w14:paraId="4F2905BA" w14:textId="73CD9486" w:rsidR="00B11B7C" w:rsidRDefault="00B11B7C" w:rsidP="002663E0">
      <w:pPr>
        <w:spacing w:before="0" w:after="160" w:line="259" w:lineRule="auto"/>
        <w:jc w:val="left"/>
        <w:rPr>
          <w:lang w:val="en-US"/>
        </w:rPr>
      </w:pPr>
    </w:p>
    <w:p w14:paraId="6B1F22E5" w14:textId="248A8A21" w:rsidR="00B11B7C" w:rsidRDefault="00B11B7C" w:rsidP="002663E0">
      <w:pPr>
        <w:spacing w:before="0" w:after="160" w:line="259" w:lineRule="auto"/>
        <w:jc w:val="left"/>
        <w:rPr>
          <w:lang w:val="en-US"/>
        </w:rPr>
      </w:pPr>
    </w:p>
    <w:p w14:paraId="71E1CCDB" w14:textId="7E7CE896" w:rsidR="00B11B7C" w:rsidRDefault="00B11B7C" w:rsidP="002663E0">
      <w:pPr>
        <w:spacing w:before="0" w:after="160" w:line="259" w:lineRule="auto"/>
        <w:jc w:val="left"/>
        <w:rPr>
          <w:lang w:val="en-US"/>
        </w:rPr>
      </w:pPr>
    </w:p>
    <w:p w14:paraId="18F3CC96" w14:textId="5BFC6757" w:rsidR="00B11B7C" w:rsidRDefault="00B11B7C" w:rsidP="002663E0">
      <w:pPr>
        <w:spacing w:before="0" w:after="160" w:line="259" w:lineRule="auto"/>
        <w:jc w:val="left"/>
        <w:rPr>
          <w:lang w:val="en-US"/>
        </w:rPr>
      </w:pPr>
    </w:p>
    <w:p w14:paraId="7D154E11" w14:textId="3560DDBC" w:rsidR="00B11B7C" w:rsidRDefault="00B11B7C" w:rsidP="002663E0">
      <w:pPr>
        <w:spacing w:before="0" w:after="160" w:line="259" w:lineRule="auto"/>
        <w:jc w:val="left"/>
        <w:rPr>
          <w:lang w:val="en-US"/>
        </w:rPr>
      </w:pPr>
    </w:p>
    <w:p w14:paraId="60273D00" w14:textId="5C5C22AF" w:rsidR="00B11B7C" w:rsidRDefault="00B11B7C" w:rsidP="002663E0">
      <w:pPr>
        <w:spacing w:before="0" w:after="160" w:line="259" w:lineRule="auto"/>
        <w:jc w:val="left"/>
        <w:rPr>
          <w:lang w:val="en-US"/>
        </w:rPr>
      </w:pPr>
    </w:p>
    <w:p w14:paraId="55AB6CD0" w14:textId="2C7A4E37" w:rsidR="00B11B7C" w:rsidRDefault="00B11B7C" w:rsidP="002663E0">
      <w:pPr>
        <w:spacing w:before="0" w:after="160" w:line="259" w:lineRule="auto"/>
        <w:jc w:val="left"/>
        <w:rPr>
          <w:lang w:val="en-US"/>
        </w:rPr>
      </w:pPr>
    </w:p>
    <w:p w14:paraId="6B1767F9" w14:textId="7BFCAD0C" w:rsidR="00B11B7C" w:rsidRDefault="00B11B7C" w:rsidP="002663E0">
      <w:pPr>
        <w:spacing w:before="0" w:after="160" w:line="259" w:lineRule="auto"/>
        <w:jc w:val="left"/>
        <w:rPr>
          <w:lang w:val="en-US"/>
        </w:rPr>
      </w:pPr>
    </w:p>
    <w:p w14:paraId="27878D49" w14:textId="164400F7" w:rsidR="00B11B7C" w:rsidRDefault="00B11B7C" w:rsidP="002663E0">
      <w:pPr>
        <w:spacing w:before="0" w:after="160" w:line="259" w:lineRule="auto"/>
        <w:jc w:val="left"/>
        <w:rPr>
          <w:lang w:val="en-US"/>
        </w:rPr>
      </w:pPr>
    </w:p>
    <w:p w14:paraId="49E5B63B" w14:textId="0C8CDF9C" w:rsidR="00B11B7C" w:rsidRDefault="00B11B7C" w:rsidP="002663E0">
      <w:pPr>
        <w:spacing w:before="0" w:after="160" w:line="259" w:lineRule="auto"/>
        <w:jc w:val="left"/>
        <w:rPr>
          <w:lang w:val="en-US"/>
        </w:rPr>
      </w:pPr>
    </w:p>
    <w:p w14:paraId="136B25E9" w14:textId="109A2501" w:rsidR="00B11B7C" w:rsidRDefault="00B11B7C" w:rsidP="002663E0">
      <w:pPr>
        <w:spacing w:before="0" w:after="160" w:line="259" w:lineRule="auto"/>
        <w:jc w:val="left"/>
        <w:rPr>
          <w:lang w:val="en-US"/>
        </w:rPr>
      </w:pPr>
    </w:p>
    <w:p w14:paraId="048A442D" w14:textId="4766174A" w:rsidR="00B11B7C" w:rsidRDefault="00B11B7C" w:rsidP="002663E0">
      <w:pPr>
        <w:spacing w:before="0" w:after="160" w:line="259" w:lineRule="auto"/>
        <w:jc w:val="left"/>
        <w:rPr>
          <w:lang w:val="en-US"/>
        </w:rPr>
      </w:pPr>
    </w:p>
    <w:p w14:paraId="32983A6A" w14:textId="1505C7C2" w:rsidR="00B11B7C" w:rsidRDefault="00B11B7C" w:rsidP="002663E0">
      <w:pPr>
        <w:spacing w:before="0" w:after="160" w:line="259" w:lineRule="auto"/>
        <w:jc w:val="left"/>
        <w:rPr>
          <w:lang w:val="en-US"/>
        </w:rPr>
      </w:pPr>
    </w:p>
    <w:p w14:paraId="19CD0963" w14:textId="69EDDF5F" w:rsidR="00B11B7C" w:rsidRDefault="00B11B7C" w:rsidP="002663E0">
      <w:pPr>
        <w:spacing w:before="0" w:after="160" w:line="259" w:lineRule="auto"/>
        <w:jc w:val="left"/>
        <w:rPr>
          <w:lang w:val="en-US"/>
        </w:rPr>
      </w:pPr>
    </w:p>
    <w:p w14:paraId="659F397E" w14:textId="286D8BE3" w:rsidR="00B11B7C" w:rsidRDefault="00B11B7C" w:rsidP="002663E0">
      <w:pPr>
        <w:spacing w:before="0" w:after="160" w:line="259" w:lineRule="auto"/>
        <w:jc w:val="left"/>
        <w:rPr>
          <w:lang w:val="en-US"/>
        </w:rPr>
      </w:pPr>
    </w:p>
    <w:p w14:paraId="0D9C59A3" w14:textId="42277158" w:rsidR="00B11B7C" w:rsidRDefault="00B11B7C" w:rsidP="002663E0">
      <w:pPr>
        <w:spacing w:before="0" w:after="160" w:line="259" w:lineRule="auto"/>
        <w:jc w:val="left"/>
        <w:rPr>
          <w:lang w:val="en-US"/>
        </w:rPr>
      </w:pPr>
    </w:p>
    <w:p w14:paraId="7E342078" w14:textId="30CEA430" w:rsidR="00B11B7C" w:rsidRDefault="00B11B7C" w:rsidP="002663E0">
      <w:pPr>
        <w:spacing w:before="0" w:after="160" w:line="259" w:lineRule="auto"/>
        <w:jc w:val="left"/>
        <w:rPr>
          <w:lang w:val="en-US"/>
        </w:rPr>
      </w:pPr>
    </w:p>
    <w:p w14:paraId="027DA460" w14:textId="2917AFAC" w:rsidR="00B11B7C" w:rsidRDefault="00B11B7C" w:rsidP="002663E0">
      <w:pPr>
        <w:spacing w:before="0" w:after="160" w:line="259" w:lineRule="auto"/>
        <w:jc w:val="left"/>
        <w:rPr>
          <w:lang w:val="en-US"/>
        </w:rPr>
      </w:pPr>
    </w:p>
    <w:p w14:paraId="0CBB2731" w14:textId="02DB34C8" w:rsidR="00B11B7C" w:rsidRDefault="00B11B7C" w:rsidP="002663E0">
      <w:pPr>
        <w:spacing w:before="0" w:after="160" w:line="259" w:lineRule="auto"/>
        <w:jc w:val="left"/>
        <w:rPr>
          <w:lang w:val="en-US"/>
        </w:rPr>
      </w:pPr>
    </w:p>
    <w:p w14:paraId="4FA34A3B" w14:textId="77777777" w:rsidR="00E01259" w:rsidRDefault="00E01259" w:rsidP="002663E0">
      <w:pPr>
        <w:spacing w:before="0" w:after="160" w:line="259" w:lineRule="auto"/>
        <w:jc w:val="left"/>
        <w:rPr>
          <w:lang w:val="en-US"/>
        </w:rPr>
      </w:pPr>
    </w:p>
    <w:p w14:paraId="45154AF2" w14:textId="10BD77A2" w:rsidR="005055F5" w:rsidRPr="00F964E4" w:rsidRDefault="00C04273" w:rsidP="002663E0">
      <w:pPr>
        <w:spacing w:before="0" w:after="160" w:line="259" w:lineRule="auto"/>
        <w:jc w:val="left"/>
        <w:rPr>
          <w:lang w:val="en-GB"/>
        </w:rPr>
      </w:pPr>
      <w:r>
        <w:rPr>
          <w:sz w:val="28"/>
          <w:szCs w:val="28"/>
          <w:u w:val="single"/>
          <w:lang w:val="en-GB"/>
        </w:rPr>
        <w:lastRenderedPageBreak/>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14B127B8"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C17E67">
        <w:rPr>
          <w:lang w:val="en-US"/>
        </w:rPr>
        <w:t>Solactive Hydrogen Economy Index</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0B68AF"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763D43B8" w14:textId="138D2FEA" w:rsidR="005055F5" w:rsidRDefault="005055F5" w:rsidP="005055F5">
      <w:pPr>
        <w:jc w:val="left"/>
        <w:rPr>
          <w:sz w:val="28"/>
          <w:szCs w:val="28"/>
          <w:u w:val="single"/>
          <w:lang w:val="en-GB"/>
        </w:rPr>
      </w:pPr>
      <w:r>
        <w:rPr>
          <w:sz w:val="28"/>
          <w:szCs w:val="28"/>
          <w:u w:val="single"/>
          <w:lang w:val="en-GB"/>
        </w:rPr>
        <w:t>Consultation Procedure</w:t>
      </w:r>
    </w:p>
    <w:p w14:paraId="08D8E698" w14:textId="1CE0C3A5" w:rsidR="005055F5"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C17E67">
        <w:rPr>
          <w:lang w:val="en-US"/>
        </w:rPr>
        <w:t xml:space="preserve"> April </w:t>
      </w:r>
      <w:r w:rsidR="00D976A6">
        <w:rPr>
          <w:lang w:val="en-DE"/>
        </w:rPr>
        <w:t>26</w:t>
      </w:r>
      <w:r w:rsidR="00C17E67">
        <w:rPr>
          <w:lang w:val="en-US"/>
        </w:rPr>
        <w:t>, 2022</w:t>
      </w:r>
      <w:r w:rsidR="00D976A6">
        <w:rPr>
          <w:lang w:val="en-DE"/>
        </w:rPr>
        <w:t xml:space="preserve"> (cob)</w:t>
      </w:r>
      <w:r w:rsidR="00C17E67">
        <w:rPr>
          <w:lang w:val="en-US"/>
        </w:rPr>
        <w:t>.</w:t>
      </w:r>
    </w:p>
    <w:p w14:paraId="741A56A5" w14:textId="6066E1DE" w:rsidR="00651886" w:rsidRPr="00C04273" w:rsidRDefault="00651886" w:rsidP="00651886">
      <w:pPr>
        <w:spacing w:before="0" w:after="0" w:line="360" w:lineRule="auto"/>
        <w:rPr>
          <w:lang w:val="en-US"/>
        </w:rPr>
      </w:pPr>
      <w:r w:rsidRPr="00FE1081">
        <w:rPr>
          <w:lang w:val="en-US"/>
        </w:rPr>
        <w:lastRenderedPageBreak/>
        <w:t xml:space="preserve">Subject to feedback received on this Market Consultation, the changes mentioned </w:t>
      </w:r>
      <w:r>
        <w:rPr>
          <w:lang w:val="en-DE"/>
        </w:rPr>
        <w:t xml:space="preserve">above are intended to </w:t>
      </w:r>
      <w:r w:rsidRPr="00FE1081">
        <w:rPr>
          <w:lang w:val="en-US"/>
        </w:rPr>
        <w:t>become effective on</w:t>
      </w:r>
      <w:r w:rsidR="00C17E67">
        <w:rPr>
          <w:lang w:val="en-US"/>
        </w:rPr>
        <w:t xml:space="preserve"> May 03, 2022</w:t>
      </w:r>
      <w:r w:rsidR="004819FA">
        <w:rPr>
          <w:lang w:val="en-DE"/>
        </w:rPr>
        <w:t>.</w:t>
      </w:r>
    </w:p>
    <w:p w14:paraId="0D223365" w14:textId="77777777" w:rsidR="00651886" w:rsidRPr="00C04273" w:rsidRDefault="00651886" w:rsidP="005055F5">
      <w:pPr>
        <w:spacing w:before="0" w:after="0" w:line="360" w:lineRule="auto"/>
        <w:rPr>
          <w:lang w:val="en-US"/>
        </w:rPr>
      </w:pPr>
    </w:p>
    <w:p w14:paraId="04131284" w14:textId="75BE5B6B" w:rsidR="005055F5" w:rsidRPr="00C04273" w:rsidRDefault="005055F5" w:rsidP="005055F5">
      <w:pPr>
        <w:spacing w:before="0" w:after="0" w:line="360" w:lineRule="auto"/>
        <w:rPr>
          <w:lang w:val="en-US"/>
        </w:rPr>
      </w:pPr>
      <w:r w:rsidRPr="00C04273">
        <w:rPr>
          <w:lang w:val="en-US"/>
        </w:rPr>
        <w:t xml:space="preserve">Please send your feedback via email to </w:t>
      </w:r>
      <w:r w:rsidR="00D976A6" w:rsidRPr="00D976A6">
        <w:rPr>
          <w:lang w:val="en-US"/>
        </w:rPr>
        <w:t>marketconsultation@solactive.com</w:t>
      </w:r>
      <w:r w:rsidRPr="00C04273">
        <w:rPr>
          <w:lang w:val="en-US"/>
        </w:rPr>
        <w:t>, specifying “Market Consultation</w:t>
      </w:r>
      <w:r w:rsidR="00DD3C44" w:rsidRPr="00C04273">
        <w:rPr>
          <w:lang w:val="en-US"/>
        </w:rPr>
        <w:t xml:space="preserve"> </w:t>
      </w:r>
      <w:r w:rsidR="00C17E67" w:rsidRPr="00C17E67">
        <w:rPr>
          <w:lang w:val="en-US"/>
        </w:rPr>
        <w:t>MARKET CONSULTATION SOLACTIVE HYDROGEN ECONOMY INDEX</w:t>
      </w:r>
      <w:r w:rsidR="00C17E67">
        <w:rPr>
          <w:lang w:val="en-US"/>
        </w:rPr>
        <w:t>”</w:t>
      </w:r>
      <w:r w:rsidR="00C17E67" w:rsidRPr="00C17E67">
        <w:rPr>
          <w:lang w:val="en-US"/>
        </w:rPr>
        <w:t xml:space="preserve"> </w:t>
      </w:r>
      <w:r w:rsidRPr="00C04273">
        <w:rPr>
          <w:lang w:val="en-US"/>
        </w:rPr>
        <w:t xml:space="preserve">as the subject of the email, or </w:t>
      </w:r>
    </w:p>
    <w:p w14:paraId="6AB9F564" w14:textId="77777777" w:rsidR="005055F5" w:rsidRPr="00B45AD2" w:rsidRDefault="005055F5" w:rsidP="005055F5">
      <w:pPr>
        <w:spacing w:after="0"/>
        <w:rPr>
          <w:lang w:val="it-IT"/>
        </w:rPr>
      </w:pPr>
      <w:r w:rsidRPr="00B45AD2">
        <w:rPr>
          <w:lang w:val="it-IT"/>
        </w:rPr>
        <w:t xml:space="preserve">via </w:t>
      </w:r>
      <w:proofErr w:type="spellStart"/>
      <w:r w:rsidRPr="00B45AD2">
        <w:rPr>
          <w:lang w:val="it-IT"/>
        </w:rPr>
        <w:t>postal</w:t>
      </w:r>
      <w:proofErr w:type="spellEnd"/>
      <w:r w:rsidRPr="00B45AD2">
        <w:rPr>
          <w:lang w:val="it-IT"/>
        </w:rPr>
        <w:t xml:space="preserve"> mail to:</w:t>
      </w:r>
      <w:r w:rsidRPr="00B45AD2">
        <w:rPr>
          <w:lang w:val="it-IT"/>
        </w:rPr>
        <w:tab/>
      </w:r>
      <w:r w:rsidRPr="00B45AD2">
        <w:rPr>
          <w:b/>
          <w:bCs/>
          <w:lang w:val="it-IT"/>
        </w:rPr>
        <w:t>Solactive AG</w:t>
      </w:r>
    </w:p>
    <w:p w14:paraId="57CF10BE" w14:textId="77777777" w:rsidR="003D0D25" w:rsidRDefault="003D0D25" w:rsidP="003D0D25">
      <w:pPr>
        <w:spacing w:after="0"/>
        <w:ind w:left="1416" w:firstLine="708"/>
      </w:pPr>
      <w:r>
        <w:t xml:space="preserve">Platz der Einheit 1 </w:t>
      </w:r>
    </w:p>
    <w:p w14:paraId="3DC233A6" w14:textId="77777777" w:rsidR="003D0D25" w:rsidRDefault="003D0D25" w:rsidP="003D0D25">
      <w:pPr>
        <w:spacing w:after="0"/>
        <w:ind w:left="1416" w:firstLine="708"/>
      </w:pPr>
      <w:r>
        <w:t xml:space="preserve">60327 Frankfurt am Main </w:t>
      </w:r>
    </w:p>
    <w:p w14:paraId="1FEC3B6F" w14:textId="1DF31918" w:rsidR="005055F5" w:rsidRPr="007F3410" w:rsidRDefault="003D0D25" w:rsidP="003D0D25">
      <w:pPr>
        <w:spacing w:after="0"/>
        <w:ind w:left="1416" w:firstLine="708"/>
        <w:rPr>
          <w:lang w:val="en-US"/>
        </w:rPr>
      </w:pPr>
      <w:r w:rsidRPr="007F3410">
        <w:rPr>
          <w:lang w:val="en-US"/>
        </w:rPr>
        <w:t>Germany</w:t>
      </w:r>
    </w:p>
    <w:p w14:paraId="3734C14E" w14:textId="77777777" w:rsidR="00D75ED2" w:rsidRDefault="00D75ED2" w:rsidP="009516EC">
      <w:pPr>
        <w:spacing w:after="0"/>
        <w:rPr>
          <w:lang w:val="en-US"/>
        </w:rPr>
      </w:pPr>
    </w:p>
    <w:p w14:paraId="12167880" w14:textId="40D49A6B" w:rsidR="009516EC" w:rsidRPr="007F3410" w:rsidRDefault="009516EC" w:rsidP="007F3410">
      <w:pPr>
        <w:spacing w:after="0"/>
        <w:rPr>
          <w:lang w:val="en-US"/>
        </w:rPr>
      </w:pPr>
      <w:r w:rsidRPr="00C04273">
        <w:rPr>
          <w:lang w:val="en-US"/>
        </w:rPr>
        <w:t>Should you have any additional questions regarding the consultative question in particular, please do not hesitate to contact us via above email address.</w:t>
      </w:r>
    </w:p>
    <w:p w14:paraId="110BD051" w14:textId="3E261544"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7C64DA34" w:rsidR="005055F5" w:rsidRDefault="005055F5" w:rsidP="0063592D">
      <w:pPr>
        <w:rPr>
          <w:lang w:val="en-GB"/>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4C7CCD5A" w:rsidR="005055F5" w:rsidRDefault="003D0D25" w:rsidP="0063592D">
      <w:pPr>
        <w:rPr>
          <w:lang w:val="en-GB"/>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5E00EB9">
                <wp:simplePos x="0" y="0"/>
                <wp:positionH relativeFrom="page">
                  <wp:align>right</wp:align>
                </wp:positionH>
                <wp:positionV relativeFrom="page">
                  <wp:posOffset>2618842</wp:posOffset>
                </wp:positionV>
                <wp:extent cx="7585863" cy="8079131"/>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863" cy="8079155"/>
                          <a:chOff x="0" y="0"/>
                          <a:chExt cx="7639965" cy="8050723"/>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466905" w:rsidRDefault="00466905"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546.1pt;margin-top:206.2pt;width:597.3pt;height:636.15pt;z-index:-251661315;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466905" w:rsidRDefault="00466905" w:rsidP="0026500B">
                        <w:pPr>
                          <w:jc w:val="center"/>
                        </w:pPr>
                      </w:p>
                    </w:txbxContent>
                  </v:textbox>
                </v:rect>
                <w10:wrap anchorx="page" anchory="page"/>
              </v:group>
            </w:pict>
          </mc:Fallback>
        </mc:AlternateContent>
      </w: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010F8C0F" w:rsidR="00572562" w:rsidRDefault="00572562" w:rsidP="0063592D">
      <w:pPr>
        <w:rPr>
          <w:lang w:val="en-US"/>
        </w:rPr>
      </w:pP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54F55EB7"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0" w:name="_Toc526233456"/>
                            <w:r w:rsidRPr="008A06B6">
                              <w:rPr>
                                <w:color w:val="FFFFFF" w:themeColor="background1"/>
                                <w:sz w:val="60"/>
                                <w:szCs w:val="60"/>
                                <w:lang w:val="en-US" w:eastAsia="en-US"/>
                              </w:rPr>
                              <w:t>Contact</w:t>
                            </w:r>
                            <w:bookmarkEnd w:id="10"/>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E01259">
                              <w:fldChar w:fldCharType="begin"/>
                            </w:r>
                            <w:r w:rsidR="00E01259" w:rsidRPr="000B68AF">
                              <w:rPr>
                                <w:lang w:val="en-US"/>
                              </w:rPr>
                              <w:instrText xml:space="preserve"> HYPERLINK "mailto:info@solactive.com" </w:instrText>
                            </w:r>
                            <w:r w:rsidR="00E01259">
                              <w:fldChar w:fldCharType="separate"/>
                            </w:r>
                            <w:r w:rsidRPr="00186DB0">
                              <w:rPr>
                                <w:rStyle w:val="Hyperlink"/>
                                <w:color w:val="FFFFFF" w:themeColor="background1"/>
                                <w:lang w:val="en-US" w:eastAsia="en-US"/>
                              </w:rPr>
                              <w:t>info@solactive.com</w:t>
                            </w:r>
                            <w:r w:rsidR="00E01259">
                              <w:rPr>
                                <w:rStyle w:val="Hyperlink"/>
                                <w:color w:val="FFFFFF" w:themeColor="background1"/>
                                <w:lang w:val="en-US" w:eastAsia="en-US"/>
                              </w:rPr>
                              <w:fldChar w:fldCharType="end"/>
                            </w:r>
                            <w:r w:rsidRPr="00186DB0">
                              <w:rPr>
                                <w:color w:val="FFFFFF" w:themeColor="background1"/>
                                <w:lang w:val="en-US" w:eastAsia="en-US"/>
                              </w:rPr>
                              <w:t xml:space="preserve"> </w:t>
                            </w:r>
                          </w:p>
                          <w:p w14:paraId="6B537AAB" w14:textId="77777777" w:rsidR="00466905" w:rsidRPr="004524D0" w:rsidRDefault="00466905" w:rsidP="00EE22E3">
                            <w:pPr>
                              <w:tabs>
                                <w:tab w:val="left" w:pos="993"/>
                              </w:tabs>
                              <w:contextualSpacing/>
                              <w:rPr>
                                <w:color w:val="FFFFFF" w:themeColor="background1"/>
                                <w:lang w:val="fr-FR" w:eastAsia="en-US"/>
                              </w:rPr>
                            </w:pPr>
                            <w:proofErr w:type="spellStart"/>
                            <w:r w:rsidRPr="004524D0">
                              <w:rPr>
                                <w:color w:val="FFFFFF" w:themeColor="background1"/>
                                <w:lang w:val="fr-FR" w:eastAsia="en-US"/>
                              </w:rPr>
                              <w:t>Website</w:t>
                            </w:r>
                            <w:proofErr w:type="spellEnd"/>
                            <w:r w:rsidRPr="004524D0">
                              <w:rPr>
                                <w:color w:val="FFFFFF" w:themeColor="background1"/>
                                <w:lang w:val="fr-FR" w:eastAsia="en-US"/>
                              </w:rPr>
                              <w:t>:</w:t>
                            </w:r>
                            <w:r w:rsidRPr="004524D0">
                              <w:rPr>
                                <w:color w:val="FFFFFF" w:themeColor="background1"/>
                                <w:lang w:val="fr-FR" w:eastAsia="en-US"/>
                              </w:rPr>
                              <w:tab/>
                            </w:r>
                            <w:hyperlink r:id="rId17" w:history="1">
                              <w:r w:rsidRPr="004524D0">
                                <w:rPr>
                                  <w:rStyle w:val="Hyperlink"/>
                                  <w:color w:val="FFFFFF" w:themeColor="background1"/>
                                  <w:lang w:val="fr-FR" w:eastAsia="en-US"/>
                                </w:rPr>
                                <w:t>www.solactive.com</w:t>
                              </w:r>
                            </w:hyperlink>
                            <w:r w:rsidRPr="004524D0">
                              <w:rPr>
                                <w:color w:val="FFFFFF" w:themeColor="background1"/>
                                <w:lang w:val="fr-FR" w:eastAsia="en-US"/>
                              </w:rPr>
                              <w:t xml:space="preserve"> </w:t>
                            </w:r>
                          </w:p>
                          <w:p w14:paraId="7C95E775" w14:textId="77777777" w:rsidR="00466905" w:rsidRPr="004524D0" w:rsidRDefault="00466905" w:rsidP="00EE22E3">
                            <w:pPr>
                              <w:tabs>
                                <w:tab w:val="left" w:pos="993"/>
                              </w:tabs>
                              <w:contextualSpacing/>
                              <w:rPr>
                                <w:color w:val="FFFFFF" w:themeColor="background1"/>
                                <w:lang w:val="fr-FR"/>
                              </w:rPr>
                            </w:pPr>
                          </w:p>
                          <w:p w14:paraId="1DDD5EBB" w14:textId="77777777" w:rsidR="00466905" w:rsidRPr="00B45AD2" w:rsidRDefault="00466905" w:rsidP="00EE22E3">
                            <w:pPr>
                              <w:tabs>
                                <w:tab w:val="left" w:pos="993"/>
                              </w:tabs>
                              <w:contextualSpacing/>
                              <w:rPr>
                                <w:color w:val="FFFFFF" w:themeColor="background1"/>
                                <w:lang w:val="fr-FR"/>
                              </w:rPr>
                            </w:pPr>
                            <w:r w:rsidRPr="00B45AD2">
                              <w:rPr>
                                <w:color w:val="FFFFFF" w:themeColor="background1"/>
                                <w:lang w:val="fr-FR"/>
                              </w:rPr>
                              <w:t>© Solactive AG</w:t>
                            </w:r>
                          </w:p>
                          <w:p w14:paraId="5087DCB6" w14:textId="77777777" w:rsidR="00466905" w:rsidRPr="00B45AD2"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11" w:name="_Toc526233456"/>
                      <w:r w:rsidRPr="008A06B6">
                        <w:rPr>
                          <w:color w:val="FFFFFF" w:themeColor="background1"/>
                          <w:sz w:val="60"/>
                          <w:szCs w:val="60"/>
                          <w:lang w:val="en-US" w:eastAsia="en-US"/>
                        </w:rPr>
                        <w:t>Contact</w:t>
                      </w:r>
                      <w:bookmarkEnd w:id="1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E01259">
                        <w:fldChar w:fldCharType="begin"/>
                      </w:r>
                      <w:r w:rsidR="00E01259" w:rsidRPr="000B68AF">
                        <w:rPr>
                          <w:lang w:val="en-US"/>
                        </w:rPr>
                        <w:instrText xml:space="preserve"> HYPERLINK "mailto:info@solactive.com" </w:instrText>
                      </w:r>
                      <w:r w:rsidR="00E01259">
                        <w:fldChar w:fldCharType="separate"/>
                      </w:r>
                      <w:r w:rsidRPr="00186DB0">
                        <w:rPr>
                          <w:rStyle w:val="Hyperlink"/>
                          <w:color w:val="FFFFFF" w:themeColor="background1"/>
                          <w:lang w:val="en-US" w:eastAsia="en-US"/>
                        </w:rPr>
                        <w:t>info@solactive.com</w:t>
                      </w:r>
                      <w:r w:rsidR="00E01259">
                        <w:rPr>
                          <w:rStyle w:val="Hyperlink"/>
                          <w:color w:val="FFFFFF" w:themeColor="background1"/>
                          <w:lang w:val="en-US" w:eastAsia="en-US"/>
                        </w:rPr>
                        <w:fldChar w:fldCharType="end"/>
                      </w:r>
                      <w:r w:rsidRPr="00186DB0">
                        <w:rPr>
                          <w:color w:val="FFFFFF" w:themeColor="background1"/>
                          <w:lang w:val="en-US" w:eastAsia="en-US"/>
                        </w:rPr>
                        <w:t xml:space="preserve"> </w:t>
                      </w:r>
                    </w:p>
                    <w:p w14:paraId="6B537AAB" w14:textId="77777777" w:rsidR="00466905" w:rsidRPr="004524D0" w:rsidRDefault="00466905" w:rsidP="00EE22E3">
                      <w:pPr>
                        <w:tabs>
                          <w:tab w:val="left" w:pos="993"/>
                        </w:tabs>
                        <w:contextualSpacing/>
                        <w:rPr>
                          <w:color w:val="FFFFFF" w:themeColor="background1"/>
                          <w:lang w:val="fr-FR" w:eastAsia="en-US"/>
                        </w:rPr>
                      </w:pPr>
                      <w:proofErr w:type="spellStart"/>
                      <w:r w:rsidRPr="004524D0">
                        <w:rPr>
                          <w:color w:val="FFFFFF" w:themeColor="background1"/>
                          <w:lang w:val="fr-FR" w:eastAsia="en-US"/>
                        </w:rPr>
                        <w:t>Website</w:t>
                      </w:r>
                      <w:proofErr w:type="spellEnd"/>
                      <w:r w:rsidRPr="004524D0">
                        <w:rPr>
                          <w:color w:val="FFFFFF" w:themeColor="background1"/>
                          <w:lang w:val="fr-FR" w:eastAsia="en-US"/>
                        </w:rPr>
                        <w:t>:</w:t>
                      </w:r>
                      <w:r w:rsidRPr="004524D0">
                        <w:rPr>
                          <w:color w:val="FFFFFF" w:themeColor="background1"/>
                          <w:lang w:val="fr-FR" w:eastAsia="en-US"/>
                        </w:rPr>
                        <w:tab/>
                      </w:r>
                      <w:hyperlink r:id="rId18" w:history="1">
                        <w:r w:rsidRPr="004524D0">
                          <w:rPr>
                            <w:rStyle w:val="Hyperlink"/>
                            <w:color w:val="FFFFFF" w:themeColor="background1"/>
                            <w:lang w:val="fr-FR" w:eastAsia="en-US"/>
                          </w:rPr>
                          <w:t>www.solactive.com</w:t>
                        </w:r>
                      </w:hyperlink>
                      <w:r w:rsidRPr="004524D0">
                        <w:rPr>
                          <w:color w:val="FFFFFF" w:themeColor="background1"/>
                          <w:lang w:val="fr-FR" w:eastAsia="en-US"/>
                        </w:rPr>
                        <w:t xml:space="preserve"> </w:t>
                      </w:r>
                    </w:p>
                    <w:p w14:paraId="7C95E775" w14:textId="77777777" w:rsidR="00466905" w:rsidRPr="004524D0" w:rsidRDefault="00466905" w:rsidP="00EE22E3">
                      <w:pPr>
                        <w:tabs>
                          <w:tab w:val="left" w:pos="993"/>
                        </w:tabs>
                        <w:contextualSpacing/>
                        <w:rPr>
                          <w:color w:val="FFFFFF" w:themeColor="background1"/>
                          <w:lang w:val="fr-FR"/>
                        </w:rPr>
                      </w:pPr>
                    </w:p>
                    <w:p w14:paraId="1DDD5EBB" w14:textId="77777777" w:rsidR="00466905" w:rsidRPr="00B45AD2" w:rsidRDefault="00466905" w:rsidP="00EE22E3">
                      <w:pPr>
                        <w:tabs>
                          <w:tab w:val="left" w:pos="993"/>
                        </w:tabs>
                        <w:contextualSpacing/>
                        <w:rPr>
                          <w:color w:val="FFFFFF" w:themeColor="background1"/>
                          <w:lang w:val="fr-FR"/>
                        </w:rPr>
                      </w:pPr>
                      <w:r w:rsidRPr="00B45AD2">
                        <w:rPr>
                          <w:color w:val="FFFFFF" w:themeColor="background1"/>
                          <w:lang w:val="fr-FR"/>
                        </w:rPr>
                        <w:t>© Solactive AG</w:t>
                      </w:r>
                    </w:p>
                    <w:p w14:paraId="5087DCB6" w14:textId="77777777" w:rsidR="00466905" w:rsidRPr="00B45AD2" w:rsidRDefault="00466905" w:rsidP="00EE22E3">
                      <w:pPr>
                        <w:rPr>
                          <w:color w:val="FFFFFF" w:themeColor="background1"/>
                          <w:lang w:val="fr-FR"/>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even" r:id="rId19"/>
      <w:headerReference w:type="default" r:id="rId20"/>
      <w:footerReference w:type="even" r:id="rId21"/>
      <w:footerReference w:type="default" r:id="rId22"/>
      <w:headerReference w:type="first" r:id="rId23"/>
      <w:footerReference w:type="first" r:id="rId24"/>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245FB4B-6005-4D96-B64C-5C9735CF368A}"/>
  </w:font>
  <w:font w:name="Flama Semicondensed Light">
    <w:altName w:val="Times New Roman"/>
    <w:panose1 w:val="02000000000000000000"/>
    <w:charset w:val="00"/>
    <w:family w:val="auto"/>
    <w:pitch w:val="variable"/>
    <w:sig w:usb0="A00000AF" w:usb1="4000207B" w:usb2="00000000" w:usb3="00000000" w:csb0="0000008B" w:csb1="00000000"/>
    <w:embedRegular r:id="rId2" w:fontKey="{074D1059-0F29-477E-833B-D2C542F966A2}"/>
    <w:embedBold r:id="rId3" w:fontKey="{1EFC0181-626E-460C-AD0B-B44F2F79ED57}"/>
    <w:embedItalic r:id="rId4" w:fontKey="{EFF01FEC-040A-47A0-99C2-63AED41C11D4}"/>
  </w:font>
  <w:font w:name="Segoe UI">
    <w:panose1 w:val="020B0502040204020203"/>
    <w:charset w:val="00"/>
    <w:family w:val="swiss"/>
    <w:pitch w:val="variable"/>
    <w:sig w:usb0="E4002EFF" w:usb1="C000E47F" w:usb2="00000009" w:usb3="00000000" w:csb0="000001FF" w:csb1="00000000"/>
    <w:embedRegular r:id="rId5" w:fontKey="{676A396D-44EB-4BB1-98AB-A4FD50A2CB68}"/>
  </w:font>
  <w:font w:name="Flama Semicondensed Medium">
    <w:altName w:val="Times New Roman"/>
    <w:panose1 w:val="02000000000000000000"/>
    <w:charset w:val="00"/>
    <w:family w:val="auto"/>
    <w:pitch w:val="variable"/>
    <w:sig w:usb0="A00000AF" w:usb1="4000207B" w:usb2="00000000" w:usb3="00000000" w:csb0="0000008B" w:csb1="00000000"/>
    <w:embedRegular r:id="rId6" w:fontKey="{DB6CF70D-3D92-44C5-A6FF-C99EC0021961}"/>
    <w:embedBold r:id="rId7" w:fontKey="{CCFB9745-33CE-4B3A-9C4E-4F6090E721B7}"/>
  </w:font>
  <w:font w:name="SEB Basic">
    <w:altName w:val="Calibri"/>
    <w:panose1 w:val="00000000000000000000"/>
    <w:charset w:val="00"/>
    <w:family w:val="modern"/>
    <w:notTrueType/>
    <w:pitch w:val="variable"/>
    <w:sig w:usb0="A00002AF" w:usb1="4000206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Italic r:id="rId8" w:fontKey="{8AAF81CF-CE93-44A0-854A-D094429D9051}"/>
  </w:font>
  <w:font w:name="Calibri Light">
    <w:panose1 w:val="020F0302020204030204"/>
    <w:charset w:val="00"/>
    <w:family w:val="swiss"/>
    <w:pitch w:val="variable"/>
    <w:sig w:usb0="E4002EFF" w:usb1="C000247B" w:usb2="00000009" w:usb3="00000000" w:csb0="000001FF" w:csb1="00000000"/>
    <w:embedRegular r:id="rId9" w:fontKey="{DB602C6B-2169-448F-9726-44733185EA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CC82C76"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15966BB3"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B45AD2">
          <w:rPr>
            <w:lang w:val="en-US"/>
          </w:rPr>
          <w:t>Market Consultation Solactive Hydrogen Economy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ED91AB1"/>
    <w:multiLevelType w:val="hybridMultilevel"/>
    <w:tmpl w:val="9A8A4D6C"/>
    <w:lvl w:ilvl="0" w:tplc="3C090011">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7" w15:restartNumberingAfterBreak="0">
    <w:nsid w:val="222E6AFB"/>
    <w:multiLevelType w:val="hybridMultilevel"/>
    <w:tmpl w:val="8EC239AC"/>
    <w:lvl w:ilvl="0" w:tplc="66F67088">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58A212BE"/>
    <w:multiLevelType w:val="hybridMultilevel"/>
    <w:tmpl w:val="4F6409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997101"/>
    <w:multiLevelType w:val="multilevel"/>
    <w:tmpl w:val="E304BB2A"/>
    <w:lvl w:ilvl="0">
      <w:start w:val="1"/>
      <w:numFmt w:val="decimal"/>
      <w:lvlText w:val="%1."/>
      <w:lvlJc w:val="left"/>
      <w:pPr>
        <w:ind w:left="360" w:hanging="360"/>
      </w:pPr>
      <w:rPr>
        <w:rFonts w:hint="default"/>
      </w:rPr>
    </w:lvl>
    <w:lvl w:ilvl="1">
      <w:start w:val="1"/>
      <w:numFmt w:val="decimal"/>
      <w:isLgl/>
      <w:lvlText w:val="%1.%2."/>
      <w:lvlJc w:val="left"/>
      <w:pPr>
        <w:ind w:left="3599"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2"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ABC4C07"/>
    <w:multiLevelType w:val="hybridMultilevel"/>
    <w:tmpl w:val="655C0834"/>
    <w:lvl w:ilvl="0" w:tplc="D42C5716">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5588277">
    <w:abstractNumId w:val="5"/>
  </w:num>
  <w:num w:numId="2" w16cid:durableId="2073379925">
    <w:abstractNumId w:val="8"/>
  </w:num>
  <w:num w:numId="3" w16cid:durableId="661399192">
    <w:abstractNumId w:val="18"/>
  </w:num>
  <w:num w:numId="4" w16cid:durableId="1657762666">
    <w:abstractNumId w:val="24"/>
  </w:num>
  <w:num w:numId="5" w16cid:durableId="230887953">
    <w:abstractNumId w:val="17"/>
  </w:num>
  <w:num w:numId="6" w16cid:durableId="1757628120">
    <w:abstractNumId w:val="9"/>
  </w:num>
  <w:num w:numId="7" w16cid:durableId="76095063">
    <w:abstractNumId w:val="22"/>
  </w:num>
  <w:num w:numId="8" w16cid:durableId="1179005245">
    <w:abstractNumId w:val="3"/>
  </w:num>
  <w:num w:numId="9" w16cid:durableId="295646474">
    <w:abstractNumId w:val="14"/>
  </w:num>
  <w:num w:numId="10" w16cid:durableId="1937514984">
    <w:abstractNumId w:val="13"/>
  </w:num>
  <w:num w:numId="11" w16cid:durableId="165871625">
    <w:abstractNumId w:val="2"/>
  </w:num>
  <w:num w:numId="12" w16cid:durableId="944921204">
    <w:abstractNumId w:val="1"/>
  </w:num>
  <w:num w:numId="13" w16cid:durableId="176891196">
    <w:abstractNumId w:val="15"/>
  </w:num>
  <w:num w:numId="14" w16cid:durableId="93288436">
    <w:abstractNumId w:val="11"/>
  </w:num>
  <w:num w:numId="15" w16cid:durableId="252905480">
    <w:abstractNumId w:val="4"/>
  </w:num>
  <w:num w:numId="16" w16cid:durableId="1666199996">
    <w:abstractNumId w:val="12"/>
  </w:num>
  <w:num w:numId="17" w16cid:durableId="1044477459">
    <w:abstractNumId w:val="25"/>
  </w:num>
  <w:num w:numId="18" w16cid:durableId="1604996037">
    <w:abstractNumId w:val="10"/>
  </w:num>
  <w:num w:numId="19" w16cid:durableId="1295522392">
    <w:abstractNumId w:val="20"/>
  </w:num>
  <w:num w:numId="20" w16cid:durableId="1048190237">
    <w:abstractNumId w:val="21"/>
  </w:num>
  <w:num w:numId="21" w16cid:durableId="1336614752">
    <w:abstractNumId w:val="0"/>
  </w:num>
  <w:num w:numId="22" w16cid:durableId="1117722446">
    <w:abstractNumId w:val="6"/>
  </w:num>
  <w:num w:numId="23" w16cid:durableId="1640264747">
    <w:abstractNumId w:val="23"/>
  </w:num>
  <w:num w:numId="24" w16cid:durableId="150097230">
    <w:abstractNumId w:val="7"/>
  </w:num>
  <w:num w:numId="25" w16cid:durableId="877396733">
    <w:abstractNumId w:val="19"/>
  </w:num>
  <w:num w:numId="26" w16cid:durableId="132339066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29D7"/>
    <w:rsid w:val="000658A8"/>
    <w:rsid w:val="00066898"/>
    <w:rsid w:val="0007305E"/>
    <w:rsid w:val="00077C61"/>
    <w:rsid w:val="00080F81"/>
    <w:rsid w:val="000849B9"/>
    <w:rsid w:val="000852F2"/>
    <w:rsid w:val="00085BB3"/>
    <w:rsid w:val="00087194"/>
    <w:rsid w:val="00087BAF"/>
    <w:rsid w:val="000916F7"/>
    <w:rsid w:val="00092BB7"/>
    <w:rsid w:val="000A128C"/>
    <w:rsid w:val="000A7946"/>
    <w:rsid w:val="000B461C"/>
    <w:rsid w:val="000B68AF"/>
    <w:rsid w:val="000C0EBA"/>
    <w:rsid w:val="000C5F8E"/>
    <w:rsid w:val="000D0FF1"/>
    <w:rsid w:val="000E3D03"/>
    <w:rsid w:val="000F172E"/>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B5917"/>
    <w:rsid w:val="001C7018"/>
    <w:rsid w:val="001D0ECC"/>
    <w:rsid w:val="001D6895"/>
    <w:rsid w:val="001E7A70"/>
    <w:rsid w:val="001F1AAE"/>
    <w:rsid w:val="001F357C"/>
    <w:rsid w:val="001F7F10"/>
    <w:rsid w:val="002127D7"/>
    <w:rsid w:val="00216B32"/>
    <w:rsid w:val="00226816"/>
    <w:rsid w:val="00233B75"/>
    <w:rsid w:val="002370C6"/>
    <w:rsid w:val="00252BDE"/>
    <w:rsid w:val="00252DAF"/>
    <w:rsid w:val="0026500B"/>
    <w:rsid w:val="00265B34"/>
    <w:rsid w:val="002663E0"/>
    <w:rsid w:val="00274CAA"/>
    <w:rsid w:val="00277D7B"/>
    <w:rsid w:val="0028575D"/>
    <w:rsid w:val="00291586"/>
    <w:rsid w:val="0029232A"/>
    <w:rsid w:val="002A32BB"/>
    <w:rsid w:val="002C0C0A"/>
    <w:rsid w:val="002C3DF7"/>
    <w:rsid w:val="002C65A0"/>
    <w:rsid w:val="002D5D39"/>
    <w:rsid w:val="002E70FC"/>
    <w:rsid w:val="003012BC"/>
    <w:rsid w:val="00307E3A"/>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24D0"/>
    <w:rsid w:val="004538B8"/>
    <w:rsid w:val="00456B65"/>
    <w:rsid w:val="00461F41"/>
    <w:rsid w:val="00466905"/>
    <w:rsid w:val="00471895"/>
    <w:rsid w:val="00475079"/>
    <w:rsid w:val="004819FA"/>
    <w:rsid w:val="00485D84"/>
    <w:rsid w:val="00490CA4"/>
    <w:rsid w:val="004A428F"/>
    <w:rsid w:val="004B4769"/>
    <w:rsid w:val="004B6674"/>
    <w:rsid w:val="004B6903"/>
    <w:rsid w:val="004C2B70"/>
    <w:rsid w:val="004C688A"/>
    <w:rsid w:val="004D16D5"/>
    <w:rsid w:val="004D6535"/>
    <w:rsid w:val="004E28A7"/>
    <w:rsid w:val="00500D79"/>
    <w:rsid w:val="005055F5"/>
    <w:rsid w:val="005059CD"/>
    <w:rsid w:val="00505A5C"/>
    <w:rsid w:val="00507D17"/>
    <w:rsid w:val="00507DB2"/>
    <w:rsid w:val="00532F22"/>
    <w:rsid w:val="00534514"/>
    <w:rsid w:val="00540147"/>
    <w:rsid w:val="005457DD"/>
    <w:rsid w:val="00572562"/>
    <w:rsid w:val="005818C8"/>
    <w:rsid w:val="00591607"/>
    <w:rsid w:val="00592EE3"/>
    <w:rsid w:val="005A0058"/>
    <w:rsid w:val="005A2BE7"/>
    <w:rsid w:val="005A6736"/>
    <w:rsid w:val="005B5236"/>
    <w:rsid w:val="005C08AA"/>
    <w:rsid w:val="005C210C"/>
    <w:rsid w:val="005C5410"/>
    <w:rsid w:val="005E2B50"/>
    <w:rsid w:val="005E61B4"/>
    <w:rsid w:val="0061270C"/>
    <w:rsid w:val="00621EE1"/>
    <w:rsid w:val="00626C9C"/>
    <w:rsid w:val="0063017D"/>
    <w:rsid w:val="00631951"/>
    <w:rsid w:val="00632135"/>
    <w:rsid w:val="0063592D"/>
    <w:rsid w:val="006421F5"/>
    <w:rsid w:val="00650433"/>
    <w:rsid w:val="00651886"/>
    <w:rsid w:val="00656E53"/>
    <w:rsid w:val="0065775A"/>
    <w:rsid w:val="006662BB"/>
    <w:rsid w:val="00687F0D"/>
    <w:rsid w:val="0069329B"/>
    <w:rsid w:val="00694010"/>
    <w:rsid w:val="006954CA"/>
    <w:rsid w:val="00697AE5"/>
    <w:rsid w:val="006A0793"/>
    <w:rsid w:val="006C091C"/>
    <w:rsid w:val="006C2A33"/>
    <w:rsid w:val="006C3E4C"/>
    <w:rsid w:val="006C5EE2"/>
    <w:rsid w:val="006D163F"/>
    <w:rsid w:val="006E0DEB"/>
    <w:rsid w:val="006F11E8"/>
    <w:rsid w:val="006F1D5D"/>
    <w:rsid w:val="006F54CB"/>
    <w:rsid w:val="007357DE"/>
    <w:rsid w:val="00736C70"/>
    <w:rsid w:val="007372FA"/>
    <w:rsid w:val="00746268"/>
    <w:rsid w:val="00750A5D"/>
    <w:rsid w:val="00753112"/>
    <w:rsid w:val="00770E36"/>
    <w:rsid w:val="007822BB"/>
    <w:rsid w:val="00783C68"/>
    <w:rsid w:val="0078490A"/>
    <w:rsid w:val="007913A0"/>
    <w:rsid w:val="007C263C"/>
    <w:rsid w:val="007C26BC"/>
    <w:rsid w:val="007D1364"/>
    <w:rsid w:val="007D2A93"/>
    <w:rsid w:val="007D4AB3"/>
    <w:rsid w:val="007E035C"/>
    <w:rsid w:val="007E0474"/>
    <w:rsid w:val="007E0ACA"/>
    <w:rsid w:val="007E47D4"/>
    <w:rsid w:val="007F3410"/>
    <w:rsid w:val="00803EE8"/>
    <w:rsid w:val="00810B5C"/>
    <w:rsid w:val="00823F62"/>
    <w:rsid w:val="00830616"/>
    <w:rsid w:val="00832F86"/>
    <w:rsid w:val="008345B7"/>
    <w:rsid w:val="0085149C"/>
    <w:rsid w:val="00851638"/>
    <w:rsid w:val="00852511"/>
    <w:rsid w:val="0085425F"/>
    <w:rsid w:val="00874E3E"/>
    <w:rsid w:val="00875EDB"/>
    <w:rsid w:val="00880689"/>
    <w:rsid w:val="0089032B"/>
    <w:rsid w:val="00895A4B"/>
    <w:rsid w:val="008A06B6"/>
    <w:rsid w:val="008A1FC3"/>
    <w:rsid w:val="008A2685"/>
    <w:rsid w:val="008A6AA1"/>
    <w:rsid w:val="008B3505"/>
    <w:rsid w:val="008C3106"/>
    <w:rsid w:val="008C5730"/>
    <w:rsid w:val="008D13A0"/>
    <w:rsid w:val="008D19A9"/>
    <w:rsid w:val="008D32E3"/>
    <w:rsid w:val="008D7A68"/>
    <w:rsid w:val="008E0EE0"/>
    <w:rsid w:val="008E4BEE"/>
    <w:rsid w:val="009133CD"/>
    <w:rsid w:val="0092193A"/>
    <w:rsid w:val="009224D5"/>
    <w:rsid w:val="00927618"/>
    <w:rsid w:val="0093363F"/>
    <w:rsid w:val="009369D6"/>
    <w:rsid w:val="009463D8"/>
    <w:rsid w:val="009516EC"/>
    <w:rsid w:val="00960D2A"/>
    <w:rsid w:val="00970C26"/>
    <w:rsid w:val="0097651D"/>
    <w:rsid w:val="00983D90"/>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5C78"/>
    <w:rsid w:val="00A73332"/>
    <w:rsid w:val="00A74BB3"/>
    <w:rsid w:val="00A8219E"/>
    <w:rsid w:val="00A94468"/>
    <w:rsid w:val="00A97E61"/>
    <w:rsid w:val="00AB6B57"/>
    <w:rsid w:val="00AC0BF4"/>
    <w:rsid w:val="00AD1AED"/>
    <w:rsid w:val="00AE467D"/>
    <w:rsid w:val="00AF0FFD"/>
    <w:rsid w:val="00AF46AF"/>
    <w:rsid w:val="00B01B34"/>
    <w:rsid w:val="00B04ABF"/>
    <w:rsid w:val="00B11B7C"/>
    <w:rsid w:val="00B1629F"/>
    <w:rsid w:val="00B210BC"/>
    <w:rsid w:val="00B302B4"/>
    <w:rsid w:val="00B44E37"/>
    <w:rsid w:val="00B45AD2"/>
    <w:rsid w:val="00B4681A"/>
    <w:rsid w:val="00B5343D"/>
    <w:rsid w:val="00B56FB0"/>
    <w:rsid w:val="00B61371"/>
    <w:rsid w:val="00B915B6"/>
    <w:rsid w:val="00BA23D9"/>
    <w:rsid w:val="00BA3FA5"/>
    <w:rsid w:val="00BA6ED4"/>
    <w:rsid w:val="00BB1CFA"/>
    <w:rsid w:val="00BB7BCB"/>
    <w:rsid w:val="00BC49CF"/>
    <w:rsid w:val="00BD4042"/>
    <w:rsid w:val="00BE7D66"/>
    <w:rsid w:val="00C0189C"/>
    <w:rsid w:val="00C03D31"/>
    <w:rsid w:val="00C04273"/>
    <w:rsid w:val="00C074F3"/>
    <w:rsid w:val="00C17E67"/>
    <w:rsid w:val="00C22CA0"/>
    <w:rsid w:val="00C24716"/>
    <w:rsid w:val="00C30238"/>
    <w:rsid w:val="00C32515"/>
    <w:rsid w:val="00C4722A"/>
    <w:rsid w:val="00C676D8"/>
    <w:rsid w:val="00C750BC"/>
    <w:rsid w:val="00C77505"/>
    <w:rsid w:val="00C8390E"/>
    <w:rsid w:val="00CA595E"/>
    <w:rsid w:val="00CC4A71"/>
    <w:rsid w:val="00CD41EB"/>
    <w:rsid w:val="00CD7B75"/>
    <w:rsid w:val="00CF1E83"/>
    <w:rsid w:val="00CF29CC"/>
    <w:rsid w:val="00D06800"/>
    <w:rsid w:val="00D06D8B"/>
    <w:rsid w:val="00D30535"/>
    <w:rsid w:val="00D55031"/>
    <w:rsid w:val="00D620C6"/>
    <w:rsid w:val="00D6424F"/>
    <w:rsid w:val="00D72633"/>
    <w:rsid w:val="00D75ED2"/>
    <w:rsid w:val="00D76406"/>
    <w:rsid w:val="00D916A7"/>
    <w:rsid w:val="00D94020"/>
    <w:rsid w:val="00D9404B"/>
    <w:rsid w:val="00D9688B"/>
    <w:rsid w:val="00D976A6"/>
    <w:rsid w:val="00DA2888"/>
    <w:rsid w:val="00DA2F85"/>
    <w:rsid w:val="00DA3CF4"/>
    <w:rsid w:val="00DB0C80"/>
    <w:rsid w:val="00DB29BB"/>
    <w:rsid w:val="00DB7CE4"/>
    <w:rsid w:val="00DC4F24"/>
    <w:rsid w:val="00DD3AB4"/>
    <w:rsid w:val="00DD3C44"/>
    <w:rsid w:val="00DE21FE"/>
    <w:rsid w:val="00DE29BE"/>
    <w:rsid w:val="00DE7F6A"/>
    <w:rsid w:val="00DF306F"/>
    <w:rsid w:val="00E01259"/>
    <w:rsid w:val="00E05994"/>
    <w:rsid w:val="00E06A59"/>
    <w:rsid w:val="00E072E6"/>
    <w:rsid w:val="00E22C03"/>
    <w:rsid w:val="00E35FA1"/>
    <w:rsid w:val="00E43678"/>
    <w:rsid w:val="00E530BC"/>
    <w:rsid w:val="00E55AA7"/>
    <w:rsid w:val="00E72212"/>
    <w:rsid w:val="00E738F4"/>
    <w:rsid w:val="00E75C53"/>
    <w:rsid w:val="00E85D18"/>
    <w:rsid w:val="00E87285"/>
    <w:rsid w:val="00E9274E"/>
    <w:rsid w:val="00EA23FA"/>
    <w:rsid w:val="00EA4B8A"/>
    <w:rsid w:val="00EC2BCA"/>
    <w:rsid w:val="00ED0760"/>
    <w:rsid w:val="00ED39A9"/>
    <w:rsid w:val="00ED69C9"/>
    <w:rsid w:val="00EE22E3"/>
    <w:rsid w:val="00EF4A17"/>
    <w:rsid w:val="00F0488B"/>
    <w:rsid w:val="00F1145C"/>
    <w:rsid w:val="00F15782"/>
    <w:rsid w:val="00F25F45"/>
    <w:rsid w:val="00F51148"/>
    <w:rsid w:val="00F568D6"/>
    <w:rsid w:val="00F67BDD"/>
    <w:rsid w:val="00F75FFF"/>
    <w:rsid w:val="00F77D37"/>
    <w:rsid w:val="00F8097C"/>
    <w:rsid w:val="00F863D9"/>
    <w:rsid w:val="00F948C6"/>
    <w:rsid w:val="00F964E4"/>
    <w:rsid w:val="00F97AFE"/>
    <w:rsid w:val="00F97BCF"/>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6A6"/>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semiHidden/>
    <w:unhideWhenUsed/>
    <w:rsid w:val="00113086"/>
    <w:rPr>
      <w:sz w:val="16"/>
      <w:szCs w:val="16"/>
    </w:rPr>
  </w:style>
  <w:style w:type="paragraph" w:styleId="CommentText">
    <w:name w:val="annotation text"/>
    <w:basedOn w:val="Normal"/>
    <w:link w:val="CommentTextChar"/>
    <w:uiPriority w:val="99"/>
    <w:unhideWhenUsed/>
    <w:rsid w:val="00113086"/>
    <w:rPr>
      <w:sz w:val="20"/>
      <w:szCs w:val="20"/>
    </w:rPr>
  </w:style>
  <w:style w:type="character" w:customStyle="1" w:styleId="CommentTextChar">
    <w:name w:val="Comment Text Char"/>
    <w:basedOn w:val="DefaultParagraphFont"/>
    <w:link w:val="CommentText"/>
    <w:uiPriority w:val="99"/>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table" w:styleId="TableGrid">
    <w:name w:val="Table Grid"/>
    <w:basedOn w:val="TableNormal"/>
    <w:uiPriority w:val="59"/>
    <w:rsid w:val="00274CAA"/>
    <w:pPr>
      <w:spacing w:after="0" w:line="240" w:lineRule="auto"/>
    </w:pPr>
    <w:rPr>
      <w:rFonts w:ascii="SEB Basic" w:eastAsia="MS Mincho" w:hAnsi="SEB Basic"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484690">
      <w:bodyDiv w:val="1"/>
      <w:marLeft w:val="0"/>
      <w:marRight w:val="0"/>
      <w:marTop w:val="0"/>
      <w:marBottom w:val="0"/>
      <w:divBdr>
        <w:top w:val="none" w:sz="0" w:space="0" w:color="auto"/>
        <w:left w:val="none" w:sz="0" w:space="0" w:color="auto"/>
        <w:bottom w:val="none" w:sz="0" w:space="0" w:color="auto"/>
        <w:right w:val="none" w:sz="0" w:space="0" w:color="auto"/>
      </w:divBdr>
    </w:div>
    <w:div w:id="933442068">
      <w:bodyDiv w:val="1"/>
      <w:marLeft w:val="0"/>
      <w:marRight w:val="0"/>
      <w:marTop w:val="0"/>
      <w:marBottom w:val="0"/>
      <w:divBdr>
        <w:top w:val="none" w:sz="0" w:space="0" w:color="auto"/>
        <w:left w:val="none" w:sz="0" w:space="0" w:color="auto"/>
        <w:bottom w:val="none" w:sz="0" w:space="0" w:color="auto"/>
        <w:right w:val="none" w:sz="0" w:space="0" w:color="auto"/>
      </w:divBdr>
    </w:div>
    <w:div w:id="976107531">
      <w:bodyDiv w:val="1"/>
      <w:marLeft w:val="0"/>
      <w:marRight w:val="0"/>
      <w:marTop w:val="0"/>
      <w:marBottom w:val="0"/>
      <w:divBdr>
        <w:top w:val="none" w:sz="0" w:space="0" w:color="auto"/>
        <w:left w:val="none" w:sz="0" w:space="0" w:color="auto"/>
        <w:bottom w:val="none" w:sz="0" w:space="0" w:color="auto"/>
        <w:right w:val="none" w:sz="0" w:space="0" w:color="auto"/>
      </w:divBdr>
    </w:div>
    <w:div w:id="1712345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lobaldata.com/" TargetMode="External"/><Relationship Id="rId18" Type="http://schemas.openxmlformats.org/officeDocument/2006/relationships/hyperlink" Target="http://www.solactive.com" TargetMode="Externa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solactive.com/downloads/Guideline-Solactive-ESG-Exclusions-Index.pdf" TargetMode="External"/><Relationship Id="rId17" Type="http://schemas.openxmlformats.org/officeDocument/2006/relationships/hyperlink" Target="http://www.solactive.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sustainalytics.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gim.com/uk/en/capabilities/corporate-governance/tracking-esg-progress/"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www.globaldata.com/" TargetMode="External"/><Relationship Id="rId23" Type="http://schemas.openxmlformats.org/officeDocument/2006/relationships/header" Target="header3.xml"/><Relationship Id="rId10" Type="http://schemas.openxmlformats.org/officeDocument/2006/relationships/image" Target="media/image6.sv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https://www.sustainalytics.com/" TargetMode="External"/><Relationship Id="rId22" Type="http://schemas.openxmlformats.org/officeDocument/2006/relationships/footer" Target="footer2.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altName w:val="Times New Roman"/>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altName w:val="Times New Roman"/>
    <w:panose1 w:val="02000000000000000000"/>
    <w:charset w:val="00"/>
    <w:family w:val="auto"/>
    <w:pitch w:val="variable"/>
    <w:sig w:usb0="A00000AF" w:usb1="4000207B" w:usb2="00000000" w:usb3="00000000" w:csb0="0000008B" w:csb1="00000000"/>
  </w:font>
  <w:font w:name="SEB Basic">
    <w:altName w:val="Calibri"/>
    <w:panose1 w:val="00000000000000000000"/>
    <w:charset w:val="00"/>
    <w:family w:val="modern"/>
    <w:notTrueType/>
    <w:pitch w:val="variable"/>
    <w:sig w:usb0="A00002AF" w:usb1="4000206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DF4854"/>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2022-04-08T00:00:00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1973</Words>
  <Characters>11251</Characters>
  <Application>Microsoft Office Word</Application>
  <DocSecurity>0</DocSecurity>
  <Lines>93</Lines>
  <Paragraphs>26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Hydrogen Economy index</vt:lpstr>
      <vt:lpstr>Index Calculation Guideline</vt:lpstr>
    </vt:vector>
  </TitlesOfParts>
  <Company/>
  <LinksUpToDate>false</LinksUpToDate>
  <CharactersWithSpaces>13198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Hydrogen Economy index</dc:title>
  <dc:subject>Calculation Documents &amp; Methodologies</dc:subject>
  <dc:creator>Solactive AG</dc:creator>
  <cp:keywords/>
  <dc:description/>
  <cp:lastModifiedBy>Distelmann, Luca</cp:lastModifiedBy>
  <cp:revision>8</cp:revision>
  <cp:lastPrinted>2022-04-08T15:44:00Z</cp:lastPrinted>
  <dcterms:created xsi:type="dcterms:W3CDTF">2022-04-08T15:14:00Z</dcterms:created>
  <dcterms:modified xsi:type="dcterms:W3CDTF">2022-04-12T12:17:00Z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