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35E2A7A8" w:rsidR="0092193A" w:rsidRPr="0097651D" w:rsidRDefault="00681D9F" w:rsidP="0092193A">
              <w:pPr>
                <w:pStyle w:val="Title"/>
                <w:rPr>
                  <w:lang w:val="en-US"/>
                </w:rPr>
              </w:pPr>
              <w:r w:rsidRPr="00681D9F">
                <w:rPr>
                  <w:color w:val="FFFFFF" w:themeColor="background1"/>
                  <w:lang w:val="en-US"/>
                </w:rPr>
                <w:t xml:space="preserve">Market Consultation </w:t>
              </w:r>
              <w:r w:rsidRPr="00681D9F">
                <w:rPr>
                  <w:color w:val="FFFFFF" w:themeColor="background1"/>
                  <w:lang w:val="en-US"/>
                </w:rPr>
                <w:t xml:space="preserve">CoinShares Blockchain Global Equity Index </w:t>
              </w:r>
              <w:r>
                <w:rPr>
                  <w:color w:val="FFFFFF" w:themeColor="background1"/>
                  <w:lang w:val="en-US"/>
                </w:rPr>
                <w:t>GUIDELINE CHANGE</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12B5E2A" w:rsidR="00466905" w:rsidRPr="00D902A1" w:rsidRDefault="00911D0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3-31T00:00:00Z">
                                      <w:dateFormat w:val="dd MMMM yyyy"/>
                                      <w:lid w:val="en-GB"/>
                                      <w:storeMappedDataAs w:val="dateTime"/>
                                      <w:calendar w:val="gregorian"/>
                                    </w:date>
                                  </w:sdtPr>
                                  <w:sdtEndPr/>
                                  <w:sdtContent>
                                    <w:r w:rsidR="00681D9F">
                                      <w:rPr>
                                        <w:color w:val="FFFFFF" w:themeColor="background1"/>
                                        <w:sz w:val="26"/>
                                        <w:szCs w:val="26"/>
                                        <w:lang w:val="en-GB"/>
                                      </w:rPr>
                                      <w:t>31 March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012B5E2A" w:rsidR="00466905" w:rsidRPr="00D902A1" w:rsidRDefault="00911D0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3-31T00:00:00Z">
                                <w:dateFormat w:val="dd MMMM yyyy"/>
                                <w:lid w:val="en-GB"/>
                                <w:storeMappedDataAs w:val="dateTime"/>
                                <w:calendar w:val="gregorian"/>
                              </w:date>
                            </w:sdtPr>
                            <w:sdtEndPr/>
                            <w:sdtContent>
                              <w:r w:rsidR="00681D9F">
                                <w:rPr>
                                  <w:color w:val="FFFFFF" w:themeColor="background1"/>
                                  <w:sz w:val="26"/>
                                  <w:szCs w:val="26"/>
                                  <w:lang w:val="en-GB"/>
                                </w:rPr>
                                <w:t>31 March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5454AE8A"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681D9F">
        <w:rPr>
          <w:lang w:val="en-US"/>
        </w:rPr>
        <w:t>Ind</w:t>
      </w:r>
      <w:r w:rsidR="00E05994" w:rsidRPr="00681D9F">
        <w:rPr>
          <w:lang w:val="en-US"/>
        </w:rPr>
        <w:t>ices</w:t>
      </w:r>
      <w:r w:rsidR="00E05994">
        <w:rPr>
          <w:lang w:val="en-US"/>
        </w:rPr>
        <w:t xml:space="preserve"> (the </w:t>
      </w:r>
      <w:r w:rsidR="00A97E61" w:rsidRPr="00681D9F">
        <w:rPr>
          <w:lang w:val="en-US"/>
        </w:rPr>
        <w:t>Ind</w:t>
      </w:r>
      <w:r w:rsidR="00E05994" w:rsidRPr="00681D9F">
        <w:rPr>
          <w:lang w:val="en-US"/>
        </w:rPr>
        <w:t>ices</w:t>
      </w:r>
      <w:r w:rsidR="00E05994">
        <w:rPr>
          <w:lang w:val="en-US"/>
        </w:rPr>
        <w:t>):</w:t>
      </w:r>
    </w:p>
    <w:tbl>
      <w:tblPr>
        <w:tblW w:w="9695" w:type="dxa"/>
        <w:tblCellMar>
          <w:left w:w="0" w:type="dxa"/>
          <w:right w:w="0" w:type="dxa"/>
        </w:tblCellMar>
        <w:tblLook w:val="04A0" w:firstRow="1" w:lastRow="0" w:firstColumn="1" w:lastColumn="0" w:noHBand="0" w:noVBand="1"/>
      </w:tblPr>
      <w:tblGrid>
        <w:gridCol w:w="6227"/>
        <w:gridCol w:w="1626"/>
        <w:gridCol w:w="1842"/>
      </w:tblGrid>
      <w:tr w:rsidR="00E05994" w14:paraId="1B57FCB7" w14:textId="77777777" w:rsidTr="00681D9F">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626"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681D9F" w:rsidRPr="00681D9F" w14:paraId="285C0C70" w14:textId="77777777" w:rsidTr="00681D9F">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1986C86E" w14:textId="518B90F0" w:rsidR="00681D9F" w:rsidRPr="003A1DD5" w:rsidRDefault="00681D9F" w:rsidP="00681D9F">
            <w:pPr>
              <w:spacing w:line="256" w:lineRule="auto"/>
              <w:rPr>
                <w:rFonts w:eastAsia="Calibri"/>
                <w:color w:val="000000"/>
                <w:sz w:val="22"/>
                <w:szCs w:val="22"/>
                <w:lang w:val="en-US" w:eastAsia="en-US"/>
              </w:rPr>
            </w:pPr>
            <w:r w:rsidRPr="00383C2C">
              <w:rPr>
                <w:rFonts w:cs="Calibri"/>
                <w:color w:val="000000"/>
                <w:lang w:val="en-US" w:eastAsia="en-DE"/>
              </w:rPr>
              <w:t>CoinShares Blockchain Global Equity Index PR Index</w:t>
            </w:r>
          </w:p>
        </w:tc>
        <w:tc>
          <w:tcPr>
            <w:tcW w:w="1626" w:type="dxa"/>
            <w:tcBorders>
              <w:top w:val="nil"/>
              <w:left w:val="nil"/>
              <w:bottom w:val="nil"/>
              <w:right w:val="single" w:sz="8" w:space="0" w:color="auto"/>
            </w:tcBorders>
            <w:noWrap/>
            <w:tcMar>
              <w:top w:w="0" w:type="dxa"/>
              <w:left w:w="70" w:type="dxa"/>
              <w:bottom w:w="0" w:type="dxa"/>
              <w:right w:w="70" w:type="dxa"/>
            </w:tcMar>
            <w:vAlign w:val="center"/>
          </w:tcPr>
          <w:p w14:paraId="62C3F688" w14:textId="4A9D6A57" w:rsidR="00681D9F" w:rsidRDefault="00681D9F" w:rsidP="00681D9F">
            <w:pPr>
              <w:spacing w:line="256" w:lineRule="auto"/>
              <w:rPr>
                <w:rFonts w:eastAsia="Calibri"/>
                <w:color w:val="000000"/>
                <w:lang w:val="en-GB" w:eastAsia="en-US"/>
              </w:rPr>
            </w:pPr>
            <w:r w:rsidRPr="00B357F4">
              <w:rPr>
                <w:rFonts w:cs="Calibri"/>
                <w:color w:val="000000"/>
                <w:lang w:eastAsia="en-DE"/>
              </w:rPr>
              <w:t>.</w:t>
            </w:r>
            <w:r w:rsidRPr="00383C2C">
              <w:rPr>
                <w:rFonts w:cs="Calibri"/>
                <w:color w:val="000000"/>
                <w:lang w:eastAsia="en-DE"/>
              </w:rPr>
              <w:t>BLOCKP</w:t>
            </w:r>
          </w:p>
        </w:tc>
        <w:tc>
          <w:tcPr>
            <w:tcW w:w="1842" w:type="dxa"/>
            <w:tcBorders>
              <w:top w:val="nil"/>
              <w:left w:val="nil"/>
              <w:bottom w:val="nil"/>
              <w:right w:val="single" w:sz="8" w:space="0" w:color="auto"/>
            </w:tcBorders>
            <w:noWrap/>
            <w:tcMar>
              <w:top w:w="0" w:type="dxa"/>
              <w:left w:w="70" w:type="dxa"/>
              <w:bottom w:w="0" w:type="dxa"/>
              <w:right w:w="70" w:type="dxa"/>
            </w:tcMar>
            <w:vAlign w:val="center"/>
          </w:tcPr>
          <w:p w14:paraId="12D59FB1" w14:textId="14938D20" w:rsidR="00681D9F" w:rsidRDefault="00681D9F" w:rsidP="00681D9F">
            <w:pPr>
              <w:spacing w:line="256" w:lineRule="auto"/>
              <w:rPr>
                <w:rFonts w:eastAsia="Calibri"/>
                <w:color w:val="000000"/>
                <w:lang w:val="en-GB" w:eastAsia="en-US"/>
              </w:rPr>
            </w:pPr>
            <w:r w:rsidRPr="00383C2C">
              <w:rPr>
                <w:rFonts w:cs="Calibri"/>
                <w:color w:val="000000"/>
                <w:lang w:eastAsia="en-DE"/>
              </w:rPr>
              <w:t>DE000SLA6ZC3</w:t>
            </w:r>
          </w:p>
        </w:tc>
      </w:tr>
      <w:tr w:rsidR="00681D9F" w:rsidRPr="00681D9F" w14:paraId="3D3C5B48" w14:textId="77777777" w:rsidTr="00681D9F">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20B68EDE" w14:textId="1ABC85E7" w:rsidR="00681D9F" w:rsidRPr="003A1DD5" w:rsidRDefault="00681D9F" w:rsidP="00681D9F">
            <w:pPr>
              <w:spacing w:line="256" w:lineRule="auto"/>
              <w:rPr>
                <w:rFonts w:eastAsia="Calibri"/>
                <w:color w:val="000000"/>
                <w:sz w:val="22"/>
                <w:szCs w:val="22"/>
                <w:lang w:val="en-US" w:eastAsia="en-US"/>
              </w:rPr>
            </w:pPr>
            <w:r w:rsidRPr="00383C2C">
              <w:rPr>
                <w:rFonts w:cs="Calibri"/>
                <w:color w:val="000000"/>
                <w:lang w:val="en-US" w:eastAsia="en-DE"/>
              </w:rPr>
              <w:t>CoinShares Blockchain Global Equity Index</w:t>
            </w:r>
          </w:p>
        </w:tc>
        <w:tc>
          <w:tcPr>
            <w:tcW w:w="1626"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6938BE1" w14:textId="2DA45D00" w:rsidR="00681D9F" w:rsidRDefault="00681D9F" w:rsidP="00681D9F">
            <w:pPr>
              <w:spacing w:line="256" w:lineRule="auto"/>
              <w:rPr>
                <w:rFonts w:eastAsia="Calibri"/>
                <w:color w:val="000000"/>
                <w:lang w:val="en-GB" w:eastAsia="en-US"/>
              </w:rPr>
            </w:pPr>
            <w:r w:rsidRPr="00B357F4">
              <w:rPr>
                <w:rFonts w:cs="Calibri"/>
                <w:color w:val="000000"/>
                <w:lang w:eastAsia="en-DE"/>
              </w:rPr>
              <w:t>.</w:t>
            </w:r>
            <w:r w:rsidRPr="00383C2C">
              <w:rPr>
                <w:rFonts w:cs="Calibri"/>
                <w:color w:val="000000"/>
                <w:lang w:eastAsia="en-DE"/>
              </w:rPr>
              <w:t>BLOCK</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569F72D" w14:textId="574C002C" w:rsidR="00681D9F" w:rsidRDefault="00681D9F" w:rsidP="00681D9F">
            <w:pPr>
              <w:spacing w:line="256" w:lineRule="auto"/>
              <w:rPr>
                <w:rFonts w:eastAsia="Calibri"/>
                <w:color w:val="000000"/>
                <w:lang w:val="en-GB" w:eastAsia="en-US"/>
              </w:rPr>
            </w:pPr>
            <w:r w:rsidRPr="00383C2C">
              <w:rPr>
                <w:rFonts w:cs="Calibri"/>
                <w:color w:val="000000"/>
                <w:lang w:eastAsia="en-DE"/>
              </w:rPr>
              <w:t>DE000SLA6ZB5</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2BF4DE5A" w14:textId="1D9C424E" w:rsidR="007E47D4" w:rsidRPr="00681D9F" w:rsidRDefault="00681D9F" w:rsidP="00F568D6">
      <w:pPr>
        <w:spacing w:before="0" w:after="160" w:line="259" w:lineRule="auto"/>
        <w:jc w:val="left"/>
        <w:rPr>
          <w:u w:val="single"/>
          <w:lang w:val="en-US"/>
        </w:rPr>
      </w:pPr>
      <w:r w:rsidRPr="00681D9F">
        <w:rPr>
          <w:lang w:val="en-GB"/>
        </w:rPr>
        <w:t>The index aims to capture the investment upside of potential earnings growth driven by the adoption of blockchain related business models. It offers exposure to global companies that participate in the blockchain ecosystem in at least one of the following areas: Mining hardware, Mining technology, Mining operations, Energy, Token investments, Blockchain Financial Services, Blockchain payment systems, Blockchain technology solutions, Blockchain consulting or communications services</w:t>
      </w:r>
      <w:r>
        <w:rPr>
          <w:lang w:val="en-GB"/>
        </w:rPr>
        <w:t xml:space="preserve">. </w:t>
      </w:r>
      <w:proofErr w:type="gramStart"/>
      <w:r>
        <w:rPr>
          <w:lang w:val="en-GB"/>
        </w:rPr>
        <w:t>In order to</w:t>
      </w:r>
      <w:proofErr w:type="gramEnd"/>
      <w:r>
        <w:rPr>
          <w:lang w:val="en-GB"/>
        </w:rPr>
        <w:t xml:space="preserve"> improve the replicability robustness</w:t>
      </w:r>
      <w:r w:rsidR="00911D0C">
        <w:rPr>
          <w:lang w:val="en-GB"/>
        </w:rPr>
        <w:t xml:space="preserve"> of the index</w:t>
      </w:r>
      <w:r>
        <w:rPr>
          <w:lang w:val="en-GB"/>
        </w:rPr>
        <w:t xml:space="preserve">, Solactive has proposed </w:t>
      </w:r>
      <w:r w:rsidR="00AE22BF">
        <w:rPr>
          <w:lang w:val="en-GB"/>
        </w:rPr>
        <w:t xml:space="preserve">several changes in the guideline as detailed below </w:t>
      </w:r>
    </w:p>
    <w:p w14:paraId="2A079CAD" w14:textId="4C6EBEDF"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w:t>
      </w:r>
      <w:r w:rsidR="00AE22BF">
        <w:rPr>
          <w:b/>
          <w:bCs/>
          <w:sz w:val="28"/>
          <w:szCs w:val="28"/>
          <w:u w:val="single"/>
          <w:lang w:val="en-GB"/>
        </w:rPr>
        <w:t>es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C6E09DF" w14:textId="0EA87B30" w:rsidR="00AE22BF" w:rsidRDefault="004A428F" w:rsidP="00C04273">
      <w:pPr>
        <w:spacing w:before="0" w:after="160" w:line="259" w:lineRule="auto"/>
        <w:rPr>
          <w:lang w:val="en-GB"/>
        </w:rPr>
      </w:pPr>
      <w:r>
        <w:rPr>
          <w:lang w:val="en-GB"/>
        </w:rPr>
        <w:t>The following Methodology change</w:t>
      </w:r>
      <w:r w:rsidR="00AE22BF">
        <w:rPr>
          <w:lang w:val="en-GB"/>
        </w:rPr>
        <w:t>s</w:t>
      </w:r>
      <w:r>
        <w:rPr>
          <w:lang w:val="en-GB"/>
        </w:rPr>
        <w:t xml:space="preserve"> </w:t>
      </w:r>
      <w:r w:rsidR="00AE22BF">
        <w:rPr>
          <w:lang w:val="en-US"/>
        </w:rPr>
        <w:t>are</w:t>
      </w:r>
      <w:r>
        <w:rPr>
          <w:lang w:val="en-GB"/>
        </w:rPr>
        <w:t xml:space="preserve"> proposed in the following poin</w:t>
      </w:r>
      <w:r w:rsidR="00AE22BF">
        <w:rPr>
          <w:lang w:val="en-GB"/>
        </w:rPr>
        <w:t>ts</w:t>
      </w:r>
      <w:r w:rsidR="00A64163" w:rsidRPr="0026131F" w:rsidDel="00C77B4F">
        <w:rPr>
          <w:lang w:val="en-GB"/>
        </w:rPr>
        <w:t xml:space="preserve"> </w:t>
      </w:r>
      <w:r w:rsidR="00C32515">
        <w:rPr>
          <w:lang w:val="en-GB"/>
        </w:rPr>
        <w:t xml:space="preserve">of the Index Guideline </w:t>
      </w:r>
      <w:r w:rsidR="00AE22BF" w:rsidRPr="00AE22BF">
        <w:rPr>
          <w:lang w:val="en-GB"/>
        </w:rPr>
        <w:t xml:space="preserve">ordered in accordance with the numbering of the affected sections: </w:t>
      </w:r>
    </w:p>
    <w:p w14:paraId="4B988485" w14:textId="77777777" w:rsidR="00194C77" w:rsidRDefault="00AE22BF" w:rsidP="00C04273">
      <w:pPr>
        <w:spacing w:before="0" w:after="160" w:line="259" w:lineRule="auto"/>
        <w:rPr>
          <w:lang w:val="en-GB"/>
        </w:rPr>
      </w:pPr>
      <w:r w:rsidRPr="00AE22BF">
        <w:rPr>
          <w:lang w:val="en-GB"/>
        </w:rPr>
        <w:t xml:space="preserve">Section </w:t>
      </w:r>
      <w:r>
        <w:rPr>
          <w:lang w:val="en-GB"/>
        </w:rPr>
        <w:t>1</w:t>
      </w:r>
      <w:r w:rsidRPr="00AE22BF">
        <w:rPr>
          <w:lang w:val="en-GB"/>
        </w:rPr>
        <w:t xml:space="preserve">. </w:t>
      </w:r>
      <w:r w:rsidR="00194C77" w:rsidRPr="0097651D">
        <w:rPr>
          <w:lang w:val="en-US"/>
        </w:rPr>
        <w:t>Index Specifications</w:t>
      </w:r>
      <w:r w:rsidR="00194C77" w:rsidRPr="00AE22BF">
        <w:rPr>
          <w:lang w:val="en-GB"/>
        </w:rPr>
        <w:t xml:space="preserve"> </w:t>
      </w:r>
    </w:p>
    <w:p w14:paraId="23A2A50F" w14:textId="19757F12" w:rsidR="00AE22BF" w:rsidRDefault="00AE22BF" w:rsidP="00C04273">
      <w:pPr>
        <w:spacing w:before="0" w:after="160" w:line="259" w:lineRule="auto"/>
        <w:rPr>
          <w:lang w:val="en-GB"/>
        </w:rPr>
      </w:pPr>
      <w:r w:rsidRPr="00AE22BF">
        <w:rPr>
          <w:lang w:val="en-GB"/>
        </w:rPr>
        <w:t>From (old version</w:t>
      </w:r>
      <w:r>
        <w:rPr>
          <w:lang w:val="en-GB"/>
        </w:rPr>
        <w:t xml:space="preserve">): </w:t>
      </w:r>
    </w:p>
    <w:p w14:paraId="0F4EC60E" w14:textId="1CC54668" w:rsidR="00AE22BF" w:rsidRDefault="00AE22BF" w:rsidP="00C04273">
      <w:pPr>
        <w:spacing w:before="0" w:after="160" w:line="259" w:lineRule="auto"/>
        <w:rPr>
          <w:lang w:val="en-GB"/>
        </w:rPr>
      </w:pPr>
      <w:r>
        <w:rPr>
          <w:lang w:val="en-GB"/>
        </w:rPr>
        <w:t>“[…]</w:t>
      </w:r>
    </w:p>
    <w:p w14:paraId="572AC8CA" w14:textId="16659549" w:rsidR="00AE22BF" w:rsidRDefault="00AE22BF" w:rsidP="00C04273">
      <w:pPr>
        <w:spacing w:before="0" w:after="160" w:line="259" w:lineRule="auto"/>
        <w:rPr>
          <w:rFonts w:eastAsia="Calibri"/>
          <w:lang w:val="en-US" w:eastAsia="en-US"/>
        </w:rPr>
      </w:pPr>
      <w:r w:rsidRPr="0097651D">
        <w:rPr>
          <w:rFonts w:eastAsia="Calibri"/>
          <w:lang w:val="en-US" w:eastAsia="en-US"/>
        </w:rPr>
        <w:t xml:space="preserve">The Index </w:t>
      </w:r>
      <w:r w:rsidRPr="002E4026">
        <w:rPr>
          <w:rFonts w:eastAsia="Calibri"/>
          <w:lang w:val="en-US" w:eastAsia="en-US"/>
        </w:rPr>
        <w:t xml:space="preserve">intends to track the price movements </w:t>
      </w:r>
      <w:r>
        <w:rPr>
          <w:rFonts w:eastAsia="Calibri"/>
          <w:lang w:val="en-US" w:eastAsia="en-US"/>
        </w:rPr>
        <w:t>of a global portfolio of companies participating in the blockchain ecosystem.</w:t>
      </w:r>
    </w:p>
    <w:p w14:paraId="521CC140" w14:textId="342E82C7" w:rsidR="00AE22BF" w:rsidRDefault="00AE22BF" w:rsidP="00C04273">
      <w:pPr>
        <w:spacing w:before="0" w:after="160" w:line="259" w:lineRule="auto"/>
        <w:rPr>
          <w:rFonts w:eastAsia="Calibri"/>
          <w:lang w:val="en-US" w:eastAsia="en-US"/>
        </w:rPr>
      </w:pPr>
    </w:p>
    <w:p w14:paraId="775BCD8D" w14:textId="03084781" w:rsidR="00AE22BF" w:rsidRDefault="00AE22BF" w:rsidP="00C04273">
      <w:pPr>
        <w:spacing w:before="0" w:after="160" w:line="259" w:lineRule="auto"/>
        <w:rPr>
          <w:lang w:val="en-GB"/>
        </w:rPr>
      </w:pPr>
      <w:r w:rsidRPr="00AE22BF">
        <w:rPr>
          <w:lang w:val="en-GB"/>
        </w:rPr>
        <w:t>To (new version):</w:t>
      </w:r>
    </w:p>
    <w:p w14:paraId="6FABC15B" w14:textId="63B39629" w:rsidR="00AE22BF" w:rsidRDefault="00AE22BF" w:rsidP="00C04273">
      <w:pPr>
        <w:spacing w:before="0" w:after="160" w:line="259" w:lineRule="auto"/>
        <w:rPr>
          <w:lang w:val="en-GB"/>
        </w:rPr>
      </w:pPr>
      <w:r>
        <w:rPr>
          <w:lang w:val="en-GB"/>
        </w:rPr>
        <w:t>“[…]</w:t>
      </w:r>
    </w:p>
    <w:p w14:paraId="7B949F0C" w14:textId="708A9389" w:rsidR="00AE22BF" w:rsidRDefault="00AE22BF" w:rsidP="00C04273">
      <w:pPr>
        <w:spacing w:before="0" w:after="160" w:line="259" w:lineRule="auto"/>
        <w:rPr>
          <w:lang w:val="en-US"/>
        </w:rPr>
      </w:pPr>
      <w:r w:rsidRPr="00AE22BF">
        <w:rPr>
          <w:lang w:val="en-US"/>
        </w:rPr>
        <w:t xml:space="preserve">The index aims to capture the investment upside of potential earnings growth driven by the adoption of blockchain related business models. It offers exposure to global companies that participate in the blockchain ecosystem in at least one of the following areas: Mining hardware, Mining technology, Mining </w:t>
      </w:r>
      <w:r w:rsidRPr="00AE22BF">
        <w:rPr>
          <w:lang w:val="en-US"/>
        </w:rPr>
        <w:lastRenderedPageBreak/>
        <w:t>operations, Energy, Token investments, Blockchain Financial Services, Blockchain payment systems, Blockchain technology solutions, Blockchain consulting or communications services</w:t>
      </w:r>
      <w:r w:rsidR="00911D0C">
        <w:rPr>
          <w:lang w:val="en-US"/>
        </w:rPr>
        <w:t>.</w:t>
      </w:r>
    </w:p>
    <w:p w14:paraId="539C3C83" w14:textId="2BCA4CD3" w:rsidR="00194C77" w:rsidRDefault="00194C77" w:rsidP="00C04273">
      <w:pPr>
        <w:spacing w:before="0" w:after="160" w:line="259" w:lineRule="auto"/>
        <w:rPr>
          <w:lang w:val="en-US"/>
        </w:rPr>
      </w:pPr>
    </w:p>
    <w:p w14:paraId="0AF20F53" w14:textId="38CB45AD" w:rsidR="00194C77" w:rsidRDefault="00194C77" w:rsidP="00C04273">
      <w:pPr>
        <w:spacing w:before="0" w:after="160" w:line="259" w:lineRule="auto"/>
        <w:rPr>
          <w:lang w:val="en-US"/>
        </w:rPr>
      </w:pPr>
      <w:r w:rsidRPr="00194C77">
        <w:rPr>
          <w:lang w:val="en-US"/>
        </w:rPr>
        <w:t xml:space="preserve">Section </w:t>
      </w:r>
      <w:r>
        <w:rPr>
          <w:lang w:val="en-US"/>
        </w:rPr>
        <w:t>1</w:t>
      </w:r>
      <w:r w:rsidRPr="00194C77">
        <w:rPr>
          <w:lang w:val="en-US"/>
        </w:rPr>
        <w:t>.</w:t>
      </w:r>
      <w:r>
        <w:rPr>
          <w:lang w:val="en-US"/>
        </w:rPr>
        <w:t>5</w:t>
      </w:r>
      <w:r w:rsidRPr="00194C77">
        <w:rPr>
          <w:lang w:val="en-US"/>
        </w:rPr>
        <w:t xml:space="preserve"> Weighting</w:t>
      </w:r>
    </w:p>
    <w:p w14:paraId="20AD8968" w14:textId="77777777" w:rsidR="00194C77" w:rsidRDefault="00194C77" w:rsidP="00194C77">
      <w:pPr>
        <w:spacing w:before="0" w:after="160" w:line="259" w:lineRule="auto"/>
        <w:rPr>
          <w:lang w:val="en-GB"/>
        </w:rPr>
      </w:pPr>
      <w:r w:rsidRPr="00AE22BF">
        <w:rPr>
          <w:lang w:val="en-GB"/>
        </w:rPr>
        <w:t>From (old version</w:t>
      </w:r>
      <w:r>
        <w:rPr>
          <w:lang w:val="en-GB"/>
        </w:rPr>
        <w:t xml:space="preserve">): </w:t>
      </w:r>
    </w:p>
    <w:p w14:paraId="3C7D2962" w14:textId="77777777" w:rsidR="00194C77" w:rsidRDefault="00194C77" w:rsidP="00194C77">
      <w:pPr>
        <w:spacing w:before="0" w:after="160" w:line="259" w:lineRule="auto"/>
        <w:rPr>
          <w:lang w:val="en-GB"/>
        </w:rPr>
      </w:pPr>
      <w:r>
        <w:rPr>
          <w:lang w:val="en-GB"/>
        </w:rPr>
        <w:t>“[…]</w:t>
      </w:r>
    </w:p>
    <w:p w14:paraId="693CBE82" w14:textId="3EC33CFC" w:rsidR="00194C77" w:rsidRDefault="00194C77" w:rsidP="00C04273">
      <w:pPr>
        <w:spacing w:before="0" w:after="160" w:line="259" w:lineRule="auto"/>
        <w:rPr>
          <w:lang w:val="en-US"/>
        </w:rPr>
      </w:pPr>
      <w:r w:rsidRPr="00194C77">
        <w:rPr>
          <w:lang w:val="en-US"/>
        </w:rPr>
        <w:t xml:space="preserve">And where </w:t>
      </w:r>
      <w:r w:rsidRPr="00194C77">
        <w:rPr>
          <w:rFonts w:ascii="Cambria Math" w:hAnsi="Cambria Math" w:cs="Cambria Math"/>
          <w:lang w:val="en-US"/>
        </w:rPr>
        <w:t>𝑀𝑘𝑡𝐶𝑎𝑝𝑛</w:t>
      </w:r>
      <w:r w:rsidRPr="00194C77">
        <w:rPr>
          <w:lang w:val="en-US"/>
        </w:rPr>
        <w:t xml:space="preserve"> is the total market capitalisation in USD of company n, </w:t>
      </w:r>
      <w:r w:rsidRPr="00194C77">
        <w:rPr>
          <w:rFonts w:ascii="Cambria Math" w:hAnsi="Cambria Math" w:cs="Cambria Math"/>
          <w:lang w:val="en-US"/>
        </w:rPr>
        <w:t>𝐹𝐹</w:t>
      </w:r>
      <w:r w:rsidRPr="00194C77">
        <w:rPr>
          <w:lang w:val="en-US"/>
        </w:rPr>
        <w:t>_</w:t>
      </w:r>
      <w:r w:rsidRPr="00194C77">
        <w:rPr>
          <w:rFonts w:ascii="Cambria Math" w:hAnsi="Cambria Math" w:cs="Cambria Math"/>
          <w:lang w:val="en-US"/>
        </w:rPr>
        <w:t>𝑀𝑘𝑡𝐶𝑎𝑝𝑛</w:t>
      </w:r>
      <w:r w:rsidRPr="00194C77">
        <w:rPr>
          <w:lang w:val="en-US"/>
        </w:rPr>
        <w:t xml:space="preserve"> is the free float market capitalisation in USD of company n, and </w:t>
      </w:r>
      <w:r w:rsidRPr="00194C77">
        <w:rPr>
          <w:rFonts w:ascii="Cambria Math" w:hAnsi="Cambria Math" w:cs="Cambria Math"/>
          <w:lang w:val="en-US"/>
        </w:rPr>
        <w:t>𝐼𝑛𝑑𝑒𝑥𝑒𝑑</w:t>
      </w:r>
      <w:r w:rsidRPr="00194C77">
        <w:rPr>
          <w:lang w:val="en-US"/>
        </w:rPr>
        <w:t>_</w:t>
      </w:r>
      <w:r w:rsidRPr="00194C77">
        <w:rPr>
          <w:rFonts w:ascii="Cambria Math" w:hAnsi="Cambria Math" w:cs="Cambria Math"/>
          <w:lang w:val="en-US"/>
        </w:rPr>
        <w:t>𝐴𝑠𝑠𝑒𝑡𝑠</w:t>
      </w:r>
      <w:r w:rsidRPr="00194C77">
        <w:rPr>
          <w:lang w:val="en-US"/>
        </w:rPr>
        <w:t xml:space="preserve"> is the total USD value of assets benchmarked to the index as of the Selection Date as defined in Section 4.</w:t>
      </w:r>
    </w:p>
    <w:p w14:paraId="3DF15D12" w14:textId="77777777" w:rsidR="00911D0C" w:rsidRPr="00CE754D" w:rsidRDefault="00911D0C" w:rsidP="00911D0C">
      <w:pPr>
        <w:spacing w:after="0"/>
        <w:rPr>
          <w:rFonts w:eastAsiaTheme="minorEastAsia"/>
          <w:lang w:val="en-GB"/>
        </w:rPr>
      </w:pPr>
      <w:r w:rsidRPr="00CE754D">
        <w:rPr>
          <w:lang w:val="en-GB"/>
        </w:rPr>
        <w:t xml:space="preserve">The weight of each security </w:t>
      </w:r>
      <w:r w:rsidRPr="00CE754D">
        <w:rPr>
          <w:i/>
          <w:iCs/>
          <w:lang w:val="en-GB"/>
        </w:rPr>
        <w:t>n</w:t>
      </w:r>
      <w:r w:rsidRPr="00CE754D">
        <w:rPr>
          <w:lang w:val="en-GB"/>
        </w:rPr>
        <w:t xml:space="preserve"> is capped at </w:t>
      </w:r>
      <m:oMath>
        <m:sSub>
          <m:sSubPr>
            <m:ctrlPr>
              <w:rPr>
                <w:rFonts w:ascii="Cambria Math" w:hAnsi="Cambria Math"/>
                <w:i/>
              </w:rPr>
            </m:ctrlPr>
          </m:sSubPr>
          <m:e>
            <m:r>
              <w:rPr>
                <w:rFonts w:ascii="Cambria Math" w:hAnsi="Cambria Math"/>
              </w:rPr>
              <m:t>Max</m:t>
            </m:r>
            <m:r>
              <w:rPr>
                <w:rFonts w:ascii="Cambria Math" w:hAnsi="Cambria Math"/>
                <w:lang w:val="en-GB"/>
              </w:rPr>
              <m:t>_%</m:t>
            </m:r>
            <m:r>
              <w:rPr>
                <w:rFonts w:ascii="Cambria Math" w:hAnsi="Cambria Math"/>
              </w:rPr>
              <m:t>Wgt</m:t>
            </m:r>
          </m:e>
          <m:sub>
            <m:r>
              <w:rPr>
                <w:rFonts w:ascii="Cambria Math" w:hAnsi="Cambria Math"/>
              </w:rPr>
              <m:t>n</m:t>
            </m:r>
          </m:sub>
        </m:sSub>
      </m:oMath>
      <w:r w:rsidRPr="00CE754D">
        <w:rPr>
          <w:rFonts w:eastAsiaTheme="minorEastAsia"/>
          <w:lang w:val="en-GB"/>
        </w:rPr>
        <w:t xml:space="preserve">, with any excess weight above this level distributed pro-rata to any index component with a weight below its </w:t>
      </w:r>
      <m:oMath>
        <m:sSub>
          <m:sSubPr>
            <m:ctrlPr>
              <w:rPr>
                <w:rFonts w:ascii="Cambria Math" w:hAnsi="Cambria Math"/>
                <w:i/>
              </w:rPr>
            </m:ctrlPr>
          </m:sSubPr>
          <m:e>
            <m:r>
              <w:rPr>
                <w:rFonts w:ascii="Cambria Math" w:hAnsi="Cambria Math"/>
              </w:rPr>
              <m:t>Max</m:t>
            </m:r>
            <m:r>
              <w:rPr>
                <w:rFonts w:ascii="Cambria Math" w:hAnsi="Cambria Math"/>
                <w:lang w:val="en-GB"/>
              </w:rPr>
              <m:t>_%</m:t>
            </m:r>
            <m:r>
              <w:rPr>
                <w:rFonts w:ascii="Cambria Math" w:hAnsi="Cambria Math"/>
              </w:rPr>
              <m:t>Wgt</m:t>
            </m:r>
          </m:e>
          <m:sub>
            <m:r>
              <w:rPr>
                <w:rFonts w:ascii="Cambria Math" w:hAnsi="Cambria Math"/>
              </w:rPr>
              <m:t>n</m:t>
            </m:r>
          </m:sub>
        </m:sSub>
      </m:oMath>
      <w:r w:rsidRPr="00CE754D">
        <w:rPr>
          <w:rFonts w:eastAsiaTheme="minorEastAsia"/>
          <w:lang w:val="en-GB"/>
        </w:rPr>
        <w:t xml:space="preserve">. This process is repeated until no individual index component has a weight above its </w:t>
      </w:r>
      <m:oMath>
        <m:sSub>
          <m:sSubPr>
            <m:ctrlPr>
              <w:rPr>
                <w:rFonts w:ascii="Cambria Math" w:hAnsi="Cambria Math"/>
                <w:i/>
              </w:rPr>
            </m:ctrlPr>
          </m:sSubPr>
          <m:e>
            <m:r>
              <w:rPr>
                <w:rFonts w:ascii="Cambria Math" w:hAnsi="Cambria Math"/>
              </w:rPr>
              <m:t>Max</m:t>
            </m:r>
            <m:r>
              <w:rPr>
                <w:rFonts w:ascii="Cambria Math" w:hAnsi="Cambria Math"/>
                <w:lang w:val="en-GB"/>
              </w:rPr>
              <m:t>_%</m:t>
            </m:r>
            <m:r>
              <w:rPr>
                <w:rFonts w:ascii="Cambria Math" w:hAnsi="Cambria Math"/>
              </w:rPr>
              <m:t>Wgt</m:t>
            </m:r>
          </m:e>
          <m:sub>
            <m:r>
              <w:rPr>
                <w:rFonts w:ascii="Cambria Math" w:hAnsi="Cambria Math"/>
              </w:rPr>
              <m:t>n</m:t>
            </m:r>
          </m:sub>
        </m:sSub>
      </m:oMath>
      <w:r w:rsidRPr="00CE754D">
        <w:rPr>
          <w:rFonts w:eastAsiaTheme="minorEastAsia"/>
          <w:lang w:val="en-GB"/>
        </w:rPr>
        <w:t>.</w:t>
      </w:r>
    </w:p>
    <w:p w14:paraId="63075EBF" w14:textId="2CCA9F01" w:rsidR="00194C77" w:rsidRPr="00911D0C" w:rsidRDefault="00194C77" w:rsidP="00C04273">
      <w:pPr>
        <w:spacing w:before="0" w:after="160" w:line="259" w:lineRule="auto"/>
        <w:rPr>
          <w:lang w:val="en-GB"/>
        </w:rPr>
      </w:pPr>
    </w:p>
    <w:p w14:paraId="3BEC25BE" w14:textId="77777777" w:rsidR="00194C77" w:rsidRDefault="00194C77" w:rsidP="00194C77">
      <w:pPr>
        <w:spacing w:before="0" w:after="160" w:line="259" w:lineRule="auto"/>
        <w:rPr>
          <w:lang w:val="en-GB"/>
        </w:rPr>
      </w:pPr>
      <w:r w:rsidRPr="00AE22BF">
        <w:rPr>
          <w:lang w:val="en-GB"/>
        </w:rPr>
        <w:t>To (new version):</w:t>
      </w:r>
    </w:p>
    <w:p w14:paraId="6D70B746" w14:textId="77777777" w:rsidR="00194C77" w:rsidRDefault="00194C77" w:rsidP="00194C77">
      <w:pPr>
        <w:spacing w:before="0" w:after="160" w:line="259" w:lineRule="auto"/>
        <w:rPr>
          <w:lang w:val="en-GB"/>
        </w:rPr>
      </w:pPr>
      <w:r>
        <w:rPr>
          <w:lang w:val="en-GB"/>
        </w:rPr>
        <w:t>“[…]</w:t>
      </w:r>
    </w:p>
    <w:p w14:paraId="37038C15" w14:textId="422A5189" w:rsidR="00194C77" w:rsidRPr="00CE754D" w:rsidRDefault="00194C77" w:rsidP="00194C77">
      <w:pPr>
        <w:spacing w:after="0"/>
        <w:rPr>
          <w:lang w:val="en-GB"/>
        </w:rPr>
      </w:pPr>
      <w:r w:rsidRPr="00CE754D">
        <w:rPr>
          <w:lang w:val="en-GB"/>
        </w:rPr>
        <w:t xml:space="preserve">And where </w:t>
      </w:r>
      <m:oMath>
        <m:sSub>
          <m:sSubPr>
            <m:ctrlPr>
              <w:rPr>
                <w:rFonts w:ascii="Cambria Math" w:hAnsi="Cambria Math"/>
                <w:i/>
              </w:rPr>
            </m:ctrlPr>
          </m:sSubPr>
          <m:e>
            <m:r>
              <w:rPr>
                <w:rFonts w:ascii="Cambria Math" w:hAnsi="Cambria Math"/>
              </w:rPr>
              <m:t>MktCap</m:t>
            </m:r>
          </m:e>
          <m:sub>
            <m:r>
              <w:rPr>
                <w:rFonts w:ascii="Cambria Math" w:hAnsi="Cambria Math"/>
              </w:rPr>
              <m:t>n</m:t>
            </m:r>
          </m:sub>
        </m:sSub>
        <m:r>
          <w:rPr>
            <w:rFonts w:ascii="Cambria Math" w:hAnsi="Cambria Math"/>
            <w:lang w:val="en-GB"/>
          </w:rPr>
          <m:t xml:space="preserve"> </m:t>
        </m:r>
      </m:oMath>
      <w:r w:rsidRPr="00CE754D">
        <w:rPr>
          <w:lang w:val="en-GB"/>
        </w:rPr>
        <w:t xml:space="preserve">is </w:t>
      </w:r>
      <w:r>
        <w:rPr>
          <w:lang w:val="en-GB"/>
        </w:rPr>
        <w:t xml:space="preserve">share class market capitalisation in USD of the index component n, </w:t>
      </w:r>
      <w:r w:rsidRPr="00CE754D">
        <w:rPr>
          <w:lang w:val="en-GB"/>
        </w:rPr>
        <w:t xml:space="preserve">, </w:t>
      </w:r>
      <m:oMath>
        <m:sSub>
          <m:sSubPr>
            <m:ctrlPr>
              <w:rPr>
                <w:rFonts w:ascii="Cambria Math" w:hAnsi="Cambria Math"/>
                <w:i/>
              </w:rPr>
            </m:ctrlPr>
          </m:sSubPr>
          <m:e>
            <m:r>
              <w:rPr>
                <w:rFonts w:ascii="Cambria Math" w:hAnsi="Cambria Math"/>
              </w:rPr>
              <m:t>FF</m:t>
            </m:r>
            <m:r>
              <w:rPr>
                <w:rFonts w:ascii="Cambria Math" w:hAnsi="Cambria Math"/>
                <w:lang w:val="en-GB"/>
              </w:rPr>
              <m:t>_</m:t>
            </m:r>
            <m:r>
              <w:rPr>
                <w:rFonts w:ascii="Cambria Math" w:hAnsi="Cambria Math"/>
              </w:rPr>
              <m:t>MktCap</m:t>
            </m:r>
          </m:e>
          <m:sub>
            <m:r>
              <w:rPr>
                <w:rFonts w:ascii="Cambria Math" w:hAnsi="Cambria Math"/>
              </w:rPr>
              <m:t>n</m:t>
            </m:r>
          </m:sub>
        </m:sSub>
      </m:oMath>
      <w:r w:rsidRPr="00CE754D">
        <w:rPr>
          <w:lang w:val="en-GB"/>
        </w:rPr>
        <w:t xml:space="preserve"> is </w:t>
      </w:r>
      <w:r>
        <w:rPr>
          <w:lang w:val="en-GB"/>
        </w:rPr>
        <w:t>free float market capitalisation in of the index component n</w:t>
      </w:r>
      <w:r w:rsidR="00911D0C">
        <w:rPr>
          <w:lang w:val="en-GB"/>
        </w:rPr>
        <w:t>, and</w:t>
      </w:r>
      <w:r w:rsidRPr="00CE754D">
        <w:rPr>
          <w:lang w:val="en-GB"/>
        </w:rPr>
        <w:t xml:space="preserve"> </w:t>
      </w:r>
      <m:oMath>
        <m:r>
          <w:rPr>
            <w:rFonts w:ascii="Cambria Math" w:hAnsi="Cambria Math"/>
          </w:rPr>
          <m:t>Indexed</m:t>
        </m:r>
        <m:r>
          <w:rPr>
            <w:rFonts w:ascii="Cambria Math" w:hAnsi="Cambria Math"/>
            <w:lang w:val="en-GB"/>
          </w:rPr>
          <m:t>_</m:t>
        </m:r>
        <m:r>
          <w:rPr>
            <w:rFonts w:ascii="Cambria Math" w:hAnsi="Cambria Math"/>
          </w:rPr>
          <m:t>Assets</m:t>
        </m:r>
      </m:oMath>
      <w:r w:rsidRPr="00CE754D">
        <w:rPr>
          <w:rFonts w:eastAsiaTheme="minorEastAsia"/>
          <w:lang w:val="en-GB"/>
        </w:rPr>
        <w:t xml:space="preserve"> is </w:t>
      </w:r>
      <w:r w:rsidRPr="00416DFA">
        <w:rPr>
          <w:rFonts w:eastAsiaTheme="minorEastAsia"/>
          <w:lang w:val="en-GB"/>
        </w:rPr>
        <w:t xml:space="preserve">total USD value of assets benchmarked to the </w:t>
      </w:r>
      <w:r w:rsidRPr="001D1C3B">
        <w:rPr>
          <w:rFonts w:eastAsiaTheme="minorEastAsia"/>
          <w:lang w:val="en-GB"/>
        </w:rPr>
        <w:t xml:space="preserve">Index </w:t>
      </w:r>
      <w:r w:rsidRPr="00416DFA">
        <w:rPr>
          <w:rFonts w:eastAsiaTheme="minorEastAsia"/>
          <w:lang w:val="en-GB"/>
        </w:rPr>
        <w:t xml:space="preserve">provided by the </w:t>
      </w:r>
      <w:r w:rsidRPr="002B5A54">
        <w:rPr>
          <w:rFonts w:eastAsiaTheme="minorEastAsia"/>
          <w:lang w:val="en-GB"/>
        </w:rPr>
        <w:t>Index Advisor</w:t>
      </w:r>
      <w:r w:rsidRPr="00416DFA">
        <w:rPr>
          <w:rFonts w:eastAsiaTheme="minorEastAsia"/>
          <w:lang w:val="en-GB"/>
        </w:rPr>
        <w:t xml:space="preserve"> as of the </w:t>
      </w:r>
      <w:r w:rsidRPr="002B5A54">
        <w:rPr>
          <w:rFonts w:eastAsiaTheme="minorEastAsia"/>
          <w:lang w:val="en-GB"/>
        </w:rPr>
        <w:t>Selection Day</w:t>
      </w:r>
      <w:r w:rsidRPr="00416DFA">
        <w:rPr>
          <w:rFonts w:eastAsiaTheme="minorEastAsia"/>
          <w:lang w:val="en-GB"/>
        </w:rPr>
        <w:t>.</w:t>
      </w:r>
    </w:p>
    <w:p w14:paraId="1E21E5BC" w14:textId="77777777" w:rsidR="00194C77" w:rsidRPr="00CE754D" w:rsidRDefault="00194C77" w:rsidP="00194C77">
      <w:pPr>
        <w:spacing w:after="0"/>
        <w:rPr>
          <w:lang w:val="en-GB"/>
        </w:rPr>
      </w:pPr>
    </w:p>
    <w:p w14:paraId="15772A8D" w14:textId="77777777" w:rsidR="00194C77" w:rsidRPr="00CE754D" w:rsidRDefault="00194C77" w:rsidP="00194C77">
      <w:pPr>
        <w:spacing w:after="0"/>
        <w:rPr>
          <w:rFonts w:eastAsiaTheme="minorEastAsia"/>
          <w:lang w:val="en-GB"/>
        </w:rPr>
      </w:pPr>
      <w:r w:rsidRPr="00CE754D">
        <w:rPr>
          <w:lang w:val="en-GB"/>
        </w:rPr>
        <w:t xml:space="preserve">The weight of each security </w:t>
      </w:r>
      <w:r w:rsidRPr="00CE754D">
        <w:rPr>
          <w:i/>
          <w:iCs/>
          <w:lang w:val="en-GB"/>
        </w:rPr>
        <w:t>n</w:t>
      </w:r>
      <w:r w:rsidRPr="00CE754D">
        <w:rPr>
          <w:lang w:val="en-GB"/>
        </w:rPr>
        <w:t xml:space="preserve"> is capped at </w:t>
      </w:r>
      <m:oMath>
        <m:sSub>
          <m:sSubPr>
            <m:ctrlPr>
              <w:rPr>
                <w:rFonts w:ascii="Cambria Math" w:hAnsi="Cambria Math"/>
                <w:i/>
              </w:rPr>
            </m:ctrlPr>
          </m:sSubPr>
          <m:e>
            <m:r>
              <w:rPr>
                <w:rFonts w:ascii="Cambria Math" w:hAnsi="Cambria Math"/>
              </w:rPr>
              <m:t>Max</m:t>
            </m:r>
            <m:r>
              <w:rPr>
                <w:rFonts w:ascii="Cambria Math" w:hAnsi="Cambria Math"/>
                <w:lang w:val="en-GB"/>
              </w:rPr>
              <m:t>_%</m:t>
            </m:r>
            <m:r>
              <w:rPr>
                <w:rFonts w:ascii="Cambria Math" w:hAnsi="Cambria Math"/>
              </w:rPr>
              <m:t>Wgt</m:t>
            </m:r>
          </m:e>
          <m:sub>
            <m:r>
              <w:rPr>
                <w:rFonts w:ascii="Cambria Math" w:hAnsi="Cambria Math"/>
              </w:rPr>
              <m:t>n</m:t>
            </m:r>
          </m:sub>
        </m:sSub>
      </m:oMath>
      <w:r w:rsidRPr="00CE754D">
        <w:rPr>
          <w:rFonts w:eastAsiaTheme="minorEastAsia"/>
          <w:lang w:val="en-GB"/>
        </w:rPr>
        <w:t xml:space="preserve">, with any excess weight above this level distributed pro-rata to any index component with a weight below its </w:t>
      </w:r>
      <m:oMath>
        <m:sSub>
          <m:sSubPr>
            <m:ctrlPr>
              <w:rPr>
                <w:rFonts w:ascii="Cambria Math" w:hAnsi="Cambria Math"/>
                <w:i/>
              </w:rPr>
            </m:ctrlPr>
          </m:sSubPr>
          <m:e>
            <m:r>
              <w:rPr>
                <w:rFonts w:ascii="Cambria Math" w:hAnsi="Cambria Math"/>
              </w:rPr>
              <m:t>Max</m:t>
            </m:r>
            <m:r>
              <w:rPr>
                <w:rFonts w:ascii="Cambria Math" w:hAnsi="Cambria Math"/>
                <w:lang w:val="en-GB"/>
              </w:rPr>
              <m:t>_%</m:t>
            </m:r>
            <m:r>
              <w:rPr>
                <w:rFonts w:ascii="Cambria Math" w:hAnsi="Cambria Math"/>
              </w:rPr>
              <m:t>Wgt</m:t>
            </m:r>
          </m:e>
          <m:sub>
            <m:r>
              <w:rPr>
                <w:rFonts w:ascii="Cambria Math" w:hAnsi="Cambria Math"/>
              </w:rPr>
              <m:t>n</m:t>
            </m:r>
          </m:sub>
        </m:sSub>
      </m:oMath>
      <w:r w:rsidRPr="00CE754D">
        <w:rPr>
          <w:rFonts w:eastAsiaTheme="minorEastAsia"/>
          <w:lang w:val="en-GB"/>
        </w:rPr>
        <w:t xml:space="preserve">. This process is repeated until no individual index component has a weight above its </w:t>
      </w:r>
      <m:oMath>
        <m:sSub>
          <m:sSubPr>
            <m:ctrlPr>
              <w:rPr>
                <w:rFonts w:ascii="Cambria Math" w:hAnsi="Cambria Math"/>
                <w:i/>
              </w:rPr>
            </m:ctrlPr>
          </m:sSubPr>
          <m:e>
            <m:r>
              <w:rPr>
                <w:rFonts w:ascii="Cambria Math" w:hAnsi="Cambria Math"/>
              </w:rPr>
              <m:t>Max</m:t>
            </m:r>
            <m:r>
              <w:rPr>
                <w:rFonts w:ascii="Cambria Math" w:hAnsi="Cambria Math"/>
                <w:lang w:val="en-GB"/>
              </w:rPr>
              <m:t>_%</m:t>
            </m:r>
            <m:r>
              <w:rPr>
                <w:rFonts w:ascii="Cambria Math" w:hAnsi="Cambria Math"/>
              </w:rPr>
              <m:t>Wgt</m:t>
            </m:r>
          </m:e>
          <m:sub>
            <m:r>
              <w:rPr>
                <w:rFonts w:ascii="Cambria Math" w:hAnsi="Cambria Math"/>
              </w:rPr>
              <m:t>n</m:t>
            </m:r>
          </m:sub>
        </m:sSub>
      </m:oMath>
      <w:r w:rsidRPr="00CE754D">
        <w:rPr>
          <w:rFonts w:eastAsiaTheme="minorEastAsia"/>
          <w:lang w:val="en-GB"/>
        </w:rPr>
        <w:t>.</w:t>
      </w:r>
    </w:p>
    <w:p w14:paraId="17A8211E" w14:textId="77777777" w:rsidR="00194C77" w:rsidRDefault="00194C77" w:rsidP="00194C77">
      <w:pPr>
        <w:autoSpaceDE w:val="0"/>
        <w:autoSpaceDN w:val="0"/>
        <w:adjustRightInd w:val="0"/>
        <w:spacing w:before="0" w:after="0"/>
        <w:jc w:val="left"/>
        <w:rPr>
          <w:lang w:val="en-GB"/>
        </w:rPr>
      </w:pPr>
    </w:p>
    <w:p w14:paraId="280B30BA" w14:textId="3E4EF8FE" w:rsidR="00194C77" w:rsidRDefault="00194C77" w:rsidP="00194C77">
      <w:pPr>
        <w:rPr>
          <w:rFonts w:eastAsiaTheme="minorEastAsia"/>
          <w:lang w:val="en-GB"/>
        </w:rPr>
      </w:pPr>
      <w:r w:rsidRPr="00194C77">
        <w:rPr>
          <w:rFonts w:eastAsiaTheme="minorEastAsia"/>
          <w:lang w:val="en-GB"/>
        </w:rPr>
        <w:t xml:space="preserve">The maximum aggregated weight of Special Purpose Acquisition Companies (SPACs) is capped at 8%. Any aggregated weight above this cap is deducted proportionally from the SPACs and redistributed evenly among the other Index </w:t>
      </w:r>
      <w:r w:rsidRPr="00CE754D">
        <w:rPr>
          <w:rFonts w:eastAsiaTheme="minorEastAsia"/>
          <w:lang w:val="en-GB"/>
        </w:rPr>
        <w:t xml:space="preserve">component </w:t>
      </w:r>
      <w:r w:rsidRPr="00194C77">
        <w:rPr>
          <w:rFonts w:eastAsiaTheme="minorEastAsia"/>
          <w:lang w:val="en-GB"/>
        </w:rPr>
        <w:t>in compliance with the security-specific weight cap determined in the preceding steps.</w:t>
      </w:r>
    </w:p>
    <w:p w14:paraId="76B308A1" w14:textId="43A724E6" w:rsidR="00194C77" w:rsidRDefault="00194C77" w:rsidP="00194C77">
      <w:pPr>
        <w:rPr>
          <w:rFonts w:eastAsiaTheme="minorEastAsia"/>
          <w:lang w:val="en-GB"/>
        </w:rPr>
      </w:pPr>
    </w:p>
    <w:p w14:paraId="7E3F51E9" w14:textId="5E3646FD" w:rsidR="00911D0C" w:rsidRDefault="00911D0C" w:rsidP="00194C77">
      <w:pPr>
        <w:rPr>
          <w:rFonts w:eastAsiaTheme="minorEastAsia"/>
          <w:lang w:val="en-GB"/>
        </w:rPr>
      </w:pPr>
    </w:p>
    <w:p w14:paraId="634E2EC0" w14:textId="49646998" w:rsidR="00911D0C" w:rsidRDefault="00911D0C" w:rsidP="00194C77">
      <w:pPr>
        <w:rPr>
          <w:rFonts w:eastAsiaTheme="minorEastAsia"/>
          <w:lang w:val="en-GB"/>
        </w:rPr>
      </w:pPr>
    </w:p>
    <w:p w14:paraId="2C33D100" w14:textId="5AE5AC3D" w:rsidR="00911D0C" w:rsidRDefault="00911D0C" w:rsidP="00194C77">
      <w:pPr>
        <w:rPr>
          <w:rFonts w:eastAsiaTheme="minorEastAsia"/>
          <w:lang w:val="en-GB"/>
        </w:rPr>
      </w:pPr>
    </w:p>
    <w:p w14:paraId="380D85B0" w14:textId="79CE8F7E" w:rsidR="00911D0C" w:rsidRDefault="00911D0C" w:rsidP="00194C77">
      <w:pPr>
        <w:rPr>
          <w:rFonts w:eastAsiaTheme="minorEastAsia"/>
          <w:lang w:val="en-GB"/>
        </w:rPr>
      </w:pPr>
    </w:p>
    <w:p w14:paraId="0463DDD2" w14:textId="77777777" w:rsidR="00911D0C" w:rsidRDefault="00911D0C" w:rsidP="00194C77">
      <w:pPr>
        <w:rPr>
          <w:rFonts w:eastAsiaTheme="minorEastAsia"/>
          <w:lang w:val="en-GB"/>
        </w:rPr>
      </w:pPr>
    </w:p>
    <w:p w14:paraId="44C4F1E2" w14:textId="6C221D36" w:rsidR="00194C77" w:rsidRDefault="00194C77" w:rsidP="00194C77">
      <w:pPr>
        <w:spacing w:before="0" w:after="160" w:line="259" w:lineRule="auto"/>
        <w:rPr>
          <w:lang w:val="en-US"/>
        </w:rPr>
      </w:pPr>
      <w:r w:rsidRPr="00194C77">
        <w:rPr>
          <w:lang w:val="en-US"/>
        </w:rPr>
        <w:lastRenderedPageBreak/>
        <w:t xml:space="preserve">Section </w:t>
      </w:r>
      <w:r>
        <w:rPr>
          <w:lang w:val="en-US"/>
        </w:rPr>
        <w:t>4 Definition</w:t>
      </w:r>
    </w:p>
    <w:p w14:paraId="52805400" w14:textId="77777777" w:rsidR="00194C77" w:rsidRDefault="00194C77" w:rsidP="00194C77">
      <w:pPr>
        <w:spacing w:before="0" w:after="160" w:line="259" w:lineRule="auto"/>
        <w:rPr>
          <w:lang w:val="en-GB"/>
        </w:rPr>
      </w:pPr>
      <w:r w:rsidRPr="00AE22BF">
        <w:rPr>
          <w:lang w:val="en-GB"/>
        </w:rPr>
        <w:t>From (old version</w:t>
      </w:r>
      <w:r>
        <w:rPr>
          <w:lang w:val="en-GB"/>
        </w:rPr>
        <w:t xml:space="preserve">): </w:t>
      </w:r>
    </w:p>
    <w:p w14:paraId="2023693B" w14:textId="0BAE945D" w:rsidR="00194C77" w:rsidRDefault="00194C77" w:rsidP="00194C77">
      <w:pPr>
        <w:spacing w:before="0" w:after="160" w:line="259" w:lineRule="auto"/>
        <w:rPr>
          <w:lang w:val="en-GB"/>
        </w:rPr>
      </w:pPr>
      <w:r>
        <w:rPr>
          <w:lang w:val="en-GB"/>
        </w:rPr>
        <w:t>“[…]</w:t>
      </w:r>
    </w:p>
    <w:p w14:paraId="65DBA986" w14:textId="77777777" w:rsidR="00194C77" w:rsidRDefault="00194C77" w:rsidP="00194C77">
      <w:pPr>
        <w:pStyle w:val="ListParagraph"/>
        <w:numPr>
          <w:ilvl w:val="0"/>
          <w:numId w:val="4"/>
        </w:numPr>
        <w:rPr>
          <w:lang w:val="en-US"/>
        </w:rPr>
      </w:pPr>
      <w:r>
        <w:rPr>
          <w:lang w:val="en-US"/>
        </w:rPr>
        <w:t>Companies need to be listed on a regulated stock exchange in any of the following countries: Australia, Austria. Belgium, Brazil, Canada, Denmark, Finland, France, Germany, Hong Kong, Ireland, Israel, Italy, Japan, Netherlands, New Zealand, Norway, Portugal, Singapore, South Korea, Spain, Sweden, Switzerland, Taiwan, United Kingdom and United States.</w:t>
      </w:r>
    </w:p>
    <w:p w14:paraId="4F819B35" w14:textId="08F28EFC" w:rsidR="00194C77" w:rsidRDefault="00194C77" w:rsidP="00911D0C">
      <w:pPr>
        <w:ind w:left="360"/>
        <w:rPr>
          <w:rFonts w:eastAsiaTheme="minorEastAsia"/>
          <w:lang w:val="en-GB"/>
        </w:rPr>
      </w:pPr>
      <w:r w:rsidRPr="00194C77">
        <w:rPr>
          <w:rFonts w:eastAsiaTheme="minorEastAsia"/>
          <w:lang w:val="en-GB"/>
        </w:rPr>
        <w:t xml:space="preserve">Based on the above pool of companies (the “Index Universe”) the Index Advisor looks for companies participating in the blockchain ecosystem in at least one of the following Areas (this process encompasses inter alia screening company descriptions on bona-fide sources, company annual filings and </w:t>
      </w:r>
      <w:proofErr w:type="gramStart"/>
      <w:r w:rsidRPr="00194C77">
        <w:rPr>
          <w:rFonts w:eastAsiaTheme="minorEastAsia"/>
          <w:lang w:val="en-GB"/>
        </w:rPr>
        <w:t>websites)</w:t>
      </w:r>
      <w:r w:rsidR="00911D0C">
        <w:rPr>
          <w:rFonts w:eastAsiaTheme="minorEastAsia"/>
          <w:lang w:val="en-GB"/>
        </w:rPr>
        <w:t>…</w:t>
      </w:r>
      <w:proofErr w:type="gramEnd"/>
    </w:p>
    <w:p w14:paraId="17EE3787" w14:textId="77777777" w:rsidR="00194C77" w:rsidRDefault="00194C77" w:rsidP="00911D0C">
      <w:pPr>
        <w:spacing w:before="0" w:after="160" w:line="259" w:lineRule="auto"/>
        <w:ind w:left="360"/>
        <w:rPr>
          <w:lang w:val="en-GB"/>
        </w:rPr>
      </w:pPr>
      <w:r w:rsidRPr="00AE22BF">
        <w:rPr>
          <w:lang w:val="en-GB"/>
        </w:rPr>
        <w:t>To (new version):</w:t>
      </w:r>
    </w:p>
    <w:p w14:paraId="28D4FCED" w14:textId="77777777" w:rsidR="00194C77" w:rsidRDefault="00194C77" w:rsidP="00194C77">
      <w:pPr>
        <w:spacing w:before="0" w:after="160" w:line="259" w:lineRule="auto"/>
        <w:rPr>
          <w:lang w:val="en-GB"/>
        </w:rPr>
      </w:pPr>
      <w:r>
        <w:rPr>
          <w:lang w:val="en-GB"/>
        </w:rPr>
        <w:t>“[…]</w:t>
      </w:r>
    </w:p>
    <w:p w14:paraId="1D06B038" w14:textId="65B56293" w:rsidR="00194C77" w:rsidRPr="00194C77" w:rsidRDefault="00194C77" w:rsidP="00194C77">
      <w:pPr>
        <w:pStyle w:val="ListParagraph"/>
        <w:numPr>
          <w:ilvl w:val="0"/>
          <w:numId w:val="4"/>
        </w:numPr>
        <w:rPr>
          <w:lang w:val="en-US"/>
        </w:rPr>
      </w:pPr>
      <w:r>
        <w:rPr>
          <w:lang w:val="en-US"/>
        </w:rPr>
        <w:t>Companies need to be listed on a regulated stock exchange in any of the following countries: Australia, Austria. Belgium, Brazil, Canada, Denmark, Finland, France, Germany, Hong Kong, Ireland, Israel, Italy, Japan, Netherlands, New Zealand, Norway, Portugal, Singapore, South Korea, Spain, Sweden, Switzerland, Taiwan, United Kingdom and United States.</w:t>
      </w:r>
    </w:p>
    <w:p w14:paraId="0399D7B8" w14:textId="6C5BE901" w:rsidR="00194C77" w:rsidRDefault="00194C77" w:rsidP="00194C77">
      <w:pPr>
        <w:pStyle w:val="ListParagraph"/>
        <w:numPr>
          <w:ilvl w:val="0"/>
          <w:numId w:val="4"/>
        </w:numPr>
        <w:rPr>
          <w:iCs/>
          <w:lang w:val="en-US" w:eastAsia="en-US"/>
        </w:rPr>
      </w:pPr>
      <w:r>
        <w:rPr>
          <w:iCs/>
          <w:lang w:val="en-US" w:eastAsia="en-US"/>
        </w:rPr>
        <w:t>Listings on the TSX Venture Exchange are not eligible.</w:t>
      </w:r>
    </w:p>
    <w:p w14:paraId="3FF55BED" w14:textId="77777777" w:rsidR="00194C77" w:rsidRPr="002B5A54" w:rsidRDefault="00194C77" w:rsidP="00194C77">
      <w:pPr>
        <w:pStyle w:val="ListParagraph"/>
        <w:numPr>
          <w:ilvl w:val="0"/>
          <w:numId w:val="4"/>
        </w:numPr>
        <w:rPr>
          <w:iCs/>
          <w:lang w:val="en-US" w:eastAsia="en-US"/>
        </w:rPr>
      </w:pPr>
      <w:r>
        <w:rPr>
          <w:iCs/>
          <w:lang w:val="en-US" w:eastAsia="en-US"/>
        </w:rPr>
        <w:t xml:space="preserve">Companies need to participate in the </w:t>
      </w:r>
      <w:r w:rsidRPr="006723D0">
        <w:rPr>
          <w:lang w:val="en-US"/>
        </w:rPr>
        <w:t>blockchain</w:t>
      </w:r>
      <w:r>
        <w:rPr>
          <w:lang w:val="en-US"/>
        </w:rPr>
        <w:t xml:space="preserve"> </w:t>
      </w:r>
      <w:r>
        <w:rPr>
          <w:iCs/>
          <w:lang w:val="en-US" w:eastAsia="en-US"/>
        </w:rPr>
        <w:t>ecosystem in at least one of the areas listed in the table below. The analysis encompasses inter alia screening of company descriptions on bona-fide sources, company annual filings and websites.</w:t>
      </w:r>
    </w:p>
    <w:p w14:paraId="31795A95" w14:textId="77777777" w:rsidR="00194C77" w:rsidRPr="00120241" w:rsidRDefault="00194C77" w:rsidP="00194C77">
      <w:pPr>
        <w:pStyle w:val="ListParagraph"/>
        <w:numPr>
          <w:ilvl w:val="0"/>
          <w:numId w:val="4"/>
        </w:numPr>
        <w:rPr>
          <w:iCs/>
          <w:lang w:val="en-US" w:eastAsia="en-US"/>
        </w:rPr>
      </w:pPr>
      <w:r w:rsidRPr="00120241">
        <w:rPr>
          <w:iCs/>
          <w:lang w:val="en-US" w:eastAsia="en-US"/>
        </w:rPr>
        <w:t xml:space="preserve">Companies are assigned to one of the </w:t>
      </w:r>
      <w:r w:rsidRPr="006723D0">
        <w:rPr>
          <w:lang w:val="en-US"/>
        </w:rPr>
        <w:t>blockchain</w:t>
      </w:r>
      <w:r>
        <w:rPr>
          <w:lang w:val="en-US"/>
        </w:rPr>
        <w:t xml:space="preserve"> </w:t>
      </w:r>
      <w:r w:rsidRPr="00120241">
        <w:rPr>
          <w:iCs/>
          <w:lang w:val="en-US" w:eastAsia="en-US"/>
        </w:rPr>
        <w:t>exposure categories outlined in the table below. The classification is based on the following 5 criteria:</w:t>
      </w:r>
    </w:p>
    <w:p w14:paraId="1794C1B3" w14:textId="77777777" w:rsidR="00194C77" w:rsidRDefault="00194C77" w:rsidP="00194C77">
      <w:pPr>
        <w:pStyle w:val="ListParagraph"/>
        <w:numPr>
          <w:ilvl w:val="1"/>
          <w:numId w:val="4"/>
        </w:numPr>
        <w:rPr>
          <w:iCs/>
          <w:lang w:val="en-US" w:eastAsia="en-US"/>
        </w:rPr>
      </w:pPr>
      <w:r w:rsidRPr="006723D0">
        <w:rPr>
          <w:lang w:val="en-US"/>
        </w:rPr>
        <w:t>blockchain</w:t>
      </w:r>
      <w:r>
        <w:rPr>
          <w:lang w:val="en-US"/>
        </w:rPr>
        <w:t xml:space="preserve"> </w:t>
      </w:r>
      <w:r>
        <w:rPr>
          <w:iCs/>
          <w:lang w:val="en-US" w:eastAsia="en-US"/>
        </w:rPr>
        <w:t>business earnings growth potential</w:t>
      </w:r>
    </w:p>
    <w:p w14:paraId="40D7B303" w14:textId="77777777" w:rsidR="00194C77" w:rsidRDefault="00194C77" w:rsidP="00194C77">
      <w:pPr>
        <w:pStyle w:val="ListParagraph"/>
        <w:numPr>
          <w:ilvl w:val="1"/>
          <w:numId w:val="4"/>
        </w:numPr>
        <w:rPr>
          <w:iCs/>
          <w:lang w:val="en-US" w:eastAsia="en-US"/>
        </w:rPr>
      </w:pPr>
      <w:r w:rsidRPr="006723D0">
        <w:rPr>
          <w:lang w:val="en-US"/>
        </w:rPr>
        <w:t>blockchain</w:t>
      </w:r>
      <w:r>
        <w:rPr>
          <w:lang w:val="en-US"/>
        </w:rPr>
        <w:t xml:space="preserve"> </w:t>
      </w:r>
      <w:r>
        <w:rPr>
          <w:iCs/>
          <w:lang w:val="en-US" w:eastAsia="en-US"/>
        </w:rPr>
        <w:t>business earnings power</w:t>
      </w:r>
    </w:p>
    <w:p w14:paraId="2DFB62C4" w14:textId="77777777" w:rsidR="00194C77" w:rsidRDefault="00194C77" w:rsidP="00194C77">
      <w:pPr>
        <w:pStyle w:val="ListParagraph"/>
        <w:numPr>
          <w:ilvl w:val="1"/>
          <w:numId w:val="4"/>
        </w:numPr>
        <w:rPr>
          <w:iCs/>
          <w:lang w:val="en-US" w:eastAsia="en-US"/>
        </w:rPr>
      </w:pPr>
      <w:r w:rsidRPr="006723D0">
        <w:rPr>
          <w:lang w:val="en-US"/>
        </w:rPr>
        <w:t>blockchain</w:t>
      </w:r>
      <w:r>
        <w:rPr>
          <w:lang w:val="en-US"/>
        </w:rPr>
        <w:t xml:space="preserve"> </w:t>
      </w:r>
      <w:r>
        <w:rPr>
          <w:iCs/>
          <w:lang w:val="en-US" w:eastAsia="en-US"/>
        </w:rPr>
        <w:t>business development stage</w:t>
      </w:r>
    </w:p>
    <w:p w14:paraId="2008C987" w14:textId="77777777" w:rsidR="00194C77" w:rsidRDefault="00194C77" w:rsidP="00194C77">
      <w:pPr>
        <w:pStyle w:val="ListParagraph"/>
        <w:numPr>
          <w:ilvl w:val="1"/>
          <w:numId w:val="4"/>
        </w:numPr>
        <w:rPr>
          <w:iCs/>
          <w:lang w:val="en-US" w:eastAsia="en-US"/>
        </w:rPr>
      </w:pPr>
      <w:r w:rsidRPr="006723D0">
        <w:rPr>
          <w:lang w:val="en-US"/>
        </w:rPr>
        <w:t>blockchain</w:t>
      </w:r>
      <w:r>
        <w:rPr>
          <w:lang w:val="en-US"/>
        </w:rPr>
        <w:t xml:space="preserve"> </w:t>
      </w:r>
      <w:r>
        <w:rPr>
          <w:iCs/>
          <w:lang w:val="en-US" w:eastAsia="en-US"/>
        </w:rPr>
        <w:t>business market share growth potential</w:t>
      </w:r>
    </w:p>
    <w:p w14:paraId="0C280F19" w14:textId="77777777" w:rsidR="00194C77" w:rsidRDefault="00194C77" w:rsidP="00194C77">
      <w:pPr>
        <w:pStyle w:val="ListParagraph"/>
        <w:numPr>
          <w:ilvl w:val="1"/>
          <w:numId w:val="4"/>
        </w:numPr>
        <w:rPr>
          <w:iCs/>
          <w:lang w:val="en-US" w:eastAsia="en-US"/>
        </w:rPr>
      </w:pPr>
      <w:r w:rsidRPr="006723D0">
        <w:rPr>
          <w:lang w:val="en-US"/>
        </w:rPr>
        <w:t>blockchain</w:t>
      </w:r>
      <w:r>
        <w:rPr>
          <w:lang w:val="en-US"/>
        </w:rPr>
        <w:t xml:space="preserve"> </w:t>
      </w:r>
      <w:r>
        <w:rPr>
          <w:iCs/>
          <w:lang w:val="en-US" w:eastAsia="en-US"/>
        </w:rPr>
        <w:t>business sustainability</w:t>
      </w:r>
    </w:p>
    <w:p w14:paraId="77D7D765" w14:textId="77777777" w:rsidR="00194C77" w:rsidRDefault="00194C77" w:rsidP="00194C77">
      <w:pPr>
        <w:ind w:left="708"/>
        <w:rPr>
          <w:iCs/>
          <w:lang w:val="en-US" w:eastAsia="en-US"/>
        </w:rPr>
      </w:pPr>
      <w:r>
        <w:rPr>
          <w:iCs/>
          <w:lang w:val="en-US" w:eastAsia="en-US"/>
        </w:rPr>
        <w:t>This is determined by reviewing company filings and websites and engaging in discussions with company management teams.</w:t>
      </w:r>
    </w:p>
    <w:tbl>
      <w:tblPr>
        <w:tblStyle w:val="TableGrid"/>
        <w:tblW w:w="6756" w:type="dxa"/>
        <w:tblInd w:w="600" w:type="dxa"/>
        <w:tblLook w:val="04A0" w:firstRow="1" w:lastRow="0" w:firstColumn="1" w:lastColumn="0" w:noHBand="0" w:noVBand="1"/>
      </w:tblPr>
      <w:tblGrid>
        <w:gridCol w:w="3378"/>
        <w:gridCol w:w="3378"/>
      </w:tblGrid>
      <w:tr w:rsidR="00194C77" w14:paraId="524518F1" w14:textId="77777777" w:rsidTr="002B5A54">
        <w:trPr>
          <w:trHeight w:val="601"/>
        </w:trPr>
        <w:tc>
          <w:tcPr>
            <w:tcW w:w="3378" w:type="dxa"/>
            <w:tcBorders>
              <w:top w:val="nil"/>
              <w:left w:val="nil"/>
              <w:bottom w:val="single" w:sz="4" w:space="0" w:color="000000"/>
              <w:right w:val="single" w:sz="4" w:space="0" w:color="auto"/>
            </w:tcBorders>
            <w:hideMark/>
          </w:tcPr>
          <w:p w14:paraId="2E6F2911" w14:textId="77777777" w:rsidR="00194C77" w:rsidRDefault="00194C77" w:rsidP="002B5A54">
            <w:pPr>
              <w:autoSpaceDE w:val="0"/>
              <w:autoSpaceDN w:val="0"/>
              <w:adjustRightInd w:val="0"/>
              <w:spacing w:before="0" w:after="0"/>
              <w:jc w:val="left"/>
              <w:rPr>
                <w:lang w:val="en-US"/>
              </w:rPr>
            </w:pPr>
            <w:r w:rsidRPr="006723D0">
              <w:rPr>
                <w:lang w:val="en-US"/>
              </w:rPr>
              <w:t>blockchain</w:t>
            </w:r>
            <w:r>
              <w:rPr>
                <w:lang w:val="en-US"/>
              </w:rPr>
              <w:t xml:space="preserve"> exposure category</w:t>
            </w:r>
          </w:p>
        </w:tc>
        <w:tc>
          <w:tcPr>
            <w:tcW w:w="3378" w:type="dxa"/>
            <w:tcBorders>
              <w:top w:val="nil"/>
              <w:left w:val="single" w:sz="4" w:space="0" w:color="auto"/>
              <w:bottom w:val="single" w:sz="4" w:space="0" w:color="000000"/>
              <w:right w:val="nil"/>
            </w:tcBorders>
            <w:hideMark/>
          </w:tcPr>
          <w:p w14:paraId="79872FE3" w14:textId="77777777" w:rsidR="00194C77" w:rsidRDefault="00194C77" w:rsidP="002B5A54">
            <w:pPr>
              <w:autoSpaceDE w:val="0"/>
              <w:autoSpaceDN w:val="0"/>
              <w:adjustRightInd w:val="0"/>
              <w:spacing w:before="0" w:after="0"/>
              <w:jc w:val="left"/>
              <w:rPr>
                <w:lang w:val="en-US"/>
              </w:rPr>
            </w:pPr>
            <w:r w:rsidRPr="002B5A54">
              <w:rPr>
                <w:rFonts w:ascii="Flama Semicondensed Medium" w:hAnsi="Flama Semicondensed Medium"/>
                <w:lang w:val="en-US"/>
              </w:rPr>
              <w:t>blockchain Category Score</w:t>
            </w:r>
          </w:p>
        </w:tc>
      </w:tr>
      <w:tr w:rsidR="00194C77" w14:paraId="2A069D64" w14:textId="77777777" w:rsidTr="002B5A54">
        <w:trPr>
          <w:trHeight w:val="193"/>
        </w:trPr>
        <w:tc>
          <w:tcPr>
            <w:tcW w:w="3378" w:type="dxa"/>
            <w:tcBorders>
              <w:top w:val="single" w:sz="4" w:space="0" w:color="000000"/>
              <w:left w:val="nil"/>
              <w:bottom w:val="single" w:sz="4" w:space="0" w:color="000000"/>
              <w:right w:val="single" w:sz="4" w:space="0" w:color="auto"/>
            </w:tcBorders>
            <w:hideMark/>
          </w:tcPr>
          <w:p w14:paraId="3FDAAA98" w14:textId="77777777" w:rsidR="00194C77" w:rsidRDefault="00194C77" w:rsidP="002B5A54">
            <w:pPr>
              <w:autoSpaceDE w:val="0"/>
              <w:autoSpaceDN w:val="0"/>
              <w:adjustRightInd w:val="0"/>
              <w:spacing w:before="0" w:after="0"/>
              <w:rPr>
                <w:lang w:val="en-US"/>
              </w:rPr>
            </w:pPr>
            <w:r>
              <w:rPr>
                <w:lang w:val="en-US"/>
              </w:rPr>
              <w:t>Core</w:t>
            </w:r>
          </w:p>
        </w:tc>
        <w:tc>
          <w:tcPr>
            <w:tcW w:w="3378" w:type="dxa"/>
            <w:tcBorders>
              <w:top w:val="single" w:sz="4" w:space="0" w:color="000000"/>
              <w:left w:val="single" w:sz="4" w:space="0" w:color="auto"/>
              <w:bottom w:val="single" w:sz="4" w:space="0" w:color="000000"/>
              <w:right w:val="nil"/>
            </w:tcBorders>
            <w:vAlign w:val="center"/>
            <w:hideMark/>
          </w:tcPr>
          <w:p w14:paraId="42CF6947" w14:textId="77777777" w:rsidR="00194C77" w:rsidRDefault="00194C77" w:rsidP="002B5A54">
            <w:pPr>
              <w:autoSpaceDE w:val="0"/>
              <w:autoSpaceDN w:val="0"/>
              <w:adjustRightInd w:val="0"/>
              <w:spacing w:before="0" w:after="0"/>
              <w:jc w:val="center"/>
              <w:rPr>
                <w:lang w:val="en-US"/>
              </w:rPr>
            </w:pPr>
            <w:r>
              <w:rPr>
                <w:lang w:val="en-US"/>
              </w:rPr>
              <w:t>5</w:t>
            </w:r>
          </w:p>
        </w:tc>
      </w:tr>
      <w:tr w:rsidR="00194C77" w14:paraId="14050A93" w14:textId="77777777" w:rsidTr="002B5A54">
        <w:trPr>
          <w:trHeight w:val="193"/>
        </w:trPr>
        <w:tc>
          <w:tcPr>
            <w:tcW w:w="3378" w:type="dxa"/>
            <w:tcBorders>
              <w:top w:val="single" w:sz="4" w:space="0" w:color="000000"/>
              <w:left w:val="nil"/>
              <w:bottom w:val="single" w:sz="4" w:space="0" w:color="000000"/>
              <w:right w:val="single" w:sz="4" w:space="0" w:color="auto"/>
            </w:tcBorders>
            <w:hideMark/>
          </w:tcPr>
          <w:p w14:paraId="5AD0BB93" w14:textId="77777777" w:rsidR="00194C77" w:rsidRDefault="00194C77" w:rsidP="002B5A54">
            <w:pPr>
              <w:autoSpaceDE w:val="0"/>
              <w:autoSpaceDN w:val="0"/>
              <w:adjustRightInd w:val="0"/>
              <w:spacing w:before="0" w:after="0"/>
              <w:rPr>
                <w:lang w:val="en-US"/>
              </w:rPr>
            </w:pPr>
            <w:r>
              <w:rPr>
                <w:lang w:val="en-US"/>
              </w:rPr>
              <w:t>Significant</w:t>
            </w:r>
          </w:p>
        </w:tc>
        <w:tc>
          <w:tcPr>
            <w:tcW w:w="3378" w:type="dxa"/>
            <w:tcBorders>
              <w:top w:val="single" w:sz="4" w:space="0" w:color="000000"/>
              <w:left w:val="single" w:sz="4" w:space="0" w:color="auto"/>
              <w:bottom w:val="single" w:sz="4" w:space="0" w:color="000000"/>
              <w:right w:val="nil"/>
            </w:tcBorders>
            <w:vAlign w:val="center"/>
            <w:hideMark/>
          </w:tcPr>
          <w:p w14:paraId="14B8E3BA" w14:textId="77777777" w:rsidR="00194C77" w:rsidRDefault="00194C77" w:rsidP="002B5A54">
            <w:pPr>
              <w:autoSpaceDE w:val="0"/>
              <w:autoSpaceDN w:val="0"/>
              <w:adjustRightInd w:val="0"/>
              <w:spacing w:before="0" w:after="0"/>
              <w:jc w:val="center"/>
              <w:rPr>
                <w:lang w:val="en-US"/>
              </w:rPr>
            </w:pPr>
            <w:r>
              <w:rPr>
                <w:lang w:val="en-US"/>
              </w:rPr>
              <w:t>4</w:t>
            </w:r>
          </w:p>
        </w:tc>
      </w:tr>
      <w:tr w:rsidR="00194C77" w14:paraId="1919FF42" w14:textId="77777777" w:rsidTr="002B5A54">
        <w:trPr>
          <w:trHeight w:val="203"/>
        </w:trPr>
        <w:tc>
          <w:tcPr>
            <w:tcW w:w="3378" w:type="dxa"/>
            <w:tcBorders>
              <w:top w:val="single" w:sz="4" w:space="0" w:color="000000"/>
              <w:left w:val="nil"/>
              <w:bottom w:val="single" w:sz="4" w:space="0" w:color="000000"/>
              <w:right w:val="single" w:sz="4" w:space="0" w:color="auto"/>
            </w:tcBorders>
            <w:hideMark/>
          </w:tcPr>
          <w:p w14:paraId="20735F21" w14:textId="77777777" w:rsidR="00194C77" w:rsidRDefault="00194C77" w:rsidP="002B5A54">
            <w:pPr>
              <w:autoSpaceDE w:val="0"/>
              <w:autoSpaceDN w:val="0"/>
              <w:adjustRightInd w:val="0"/>
              <w:spacing w:before="0" w:after="0"/>
              <w:rPr>
                <w:lang w:val="en-US"/>
              </w:rPr>
            </w:pPr>
            <w:r>
              <w:rPr>
                <w:lang w:val="en-US"/>
              </w:rPr>
              <w:lastRenderedPageBreak/>
              <w:t>Moderate</w:t>
            </w:r>
          </w:p>
        </w:tc>
        <w:tc>
          <w:tcPr>
            <w:tcW w:w="3378" w:type="dxa"/>
            <w:tcBorders>
              <w:top w:val="single" w:sz="4" w:space="0" w:color="000000"/>
              <w:left w:val="single" w:sz="4" w:space="0" w:color="auto"/>
              <w:bottom w:val="single" w:sz="4" w:space="0" w:color="000000"/>
              <w:right w:val="nil"/>
            </w:tcBorders>
            <w:vAlign w:val="center"/>
            <w:hideMark/>
          </w:tcPr>
          <w:p w14:paraId="05153189" w14:textId="77777777" w:rsidR="00194C77" w:rsidRDefault="00194C77" w:rsidP="002B5A54">
            <w:pPr>
              <w:autoSpaceDE w:val="0"/>
              <w:autoSpaceDN w:val="0"/>
              <w:adjustRightInd w:val="0"/>
              <w:spacing w:before="0" w:after="0"/>
              <w:jc w:val="center"/>
              <w:rPr>
                <w:lang w:val="en-US"/>
              </w:rPr>
            </w:pPr>
            <w:r>
              <w:rPr>
                <w:lang w:val="en-US"/>
              </w:rPr>
              <w:t>3</w:t>
            </w:r>
          </w:p>
        </w:tc>
      </w:tr>
      <w:tr w:rsidR="00194C77" w14:paraId="5E48047F" w14:textId="77777777" w:rsidTr="002B5A54">
        <w:trPr>
          <w:trHeight w:val="193"/>
        </w:trPr>
        <w:tc>
          <w:tcPr>
            <w:tcW w:w="3378" w:type="dxa"/>
            <w:tcBorders>
              <w:top w:val="single" w:sz="4" w:space="0" w:color="000000"/>
              <w:left w:val="nil"/>
              <w:bottom w:val="single" w:sz="4" w:space="0" w:color="000000"/>
              <w:right w:val="single" w:sz="4" w:space="0" w:color="auto"/>
            </w:tcBorders>
            <w:hideMark/>
          </w:tcPr>
          <w:p w14:paraId="15623A15" w14:textId="77777777" w:rsidR="00194C77" w:rsidRDefault="00194C77" w:rsidP="002B5A54">
            <w:pPr>
              <w:autoSpaceDE w:val="0"/>
              <w:autoSpaceDN w:val="0"/>
              <w:adjustRightInd w:val="0"/>
              <w:spacing w:before="0" w:after="0"/>
              <w:rPr>
                <w:lang w:val="en-US"/>
              </w:rPr>
            </w:pPr>
            <w:r>
              <w:rPr>
                <w:lang w:val="en-US"/>
              </w:rPr>
              <w:t>Developing</w:t>
            </w:r>
          </w:p>
        </w:tc>
        <w:tc>
          <w:tcPr>
            <w:tcW w:w="3378" w:type="dxa"/>
            <w:tcBorders>
              <w:top w:val="single" w:sz="4" w:space="0" w:color="000000"/>
              <w:left w:val="single" w:sz="4" w:space="0" w:color="auto"/>
              <w:bottom w:val="single" w:sz="4" w:space="0" w:color="000000"/>
              <w:right w:val="nil"/>
            </w:tcBorders>
            <w:vAlign w:val="center"/>
            <w:hideMark/>
          </w:tcPr>
          <w:p w14:paraId="745AE675" w14:textId="77777777" w:rsidR="00194C77" w:rsidRDefault="00194C77" w:rsidP="002B5A54">
            <w:pPr>
              <w:autoSpaceDE w:val="0"/>
              <w:autoSpaceDN w:val="0"/>
              <w:adjustRightInd w:val="0"/>
              <w:spacing w:before="0" w:after="0"/>
              <w:jc w:val="center"/>
              <w:rPr>
                <w:lang w:val="en-US"/>
              </w:rPr>
            </w:pPr>
            <w:r>
              <w:rPr>
                <w:lang w:val="en-US"/>
              </w:rPr>
              <w:t>2</w:t>
            </w:r>
          </w:p>
        </w:tc>
      </w:tr>
      <w:tr w:rsidR="00194C77" w14:paraId="1111F3DE" w14:textId="77777777" w:rsidTr="002B5A54">
        <w:trPr>
          <w:trHeight w:val="193"/>
        </w:trPr>
        <w:tc>
          <w:tcPr>
            <w:tcW w:w="3378" w:type="dxa"/>
            <w:tcBorders>
              <w:top w:val="single" w:sz="4" w:space="0" w:color="000000"/>
              <w:left w:val="nil"/>
              <w:bottom w:val="single" w:sz="4" w:space="0" w:color="auto"/>
              <w:right w:val="single" w:sz="4" w:space="0" w:color="auto"/>
            </w:tcBorders>
            <w:hideMark/>
          </w:tcPr>
          <w:p w14:paraId="0BE16EDB" w14:textId="77777777" w:rsidR="00194C77" w:rsidRDefault="00194C77" w:rsidP="002B5A54">
            <w:pPr>
              <w:autoSpaceDE w:val="0"/>
              <w:autoSpaceDN w:val="0"/>
              <w:adjustRightInd w:val="0"/>
              <w:spacing w:before="0" w:after="0"/>
              <w:rPr>
                <w:lang w:val="en-US"/>
              </w:rPr>
            </w:pPr>
            <w:r>
              <w:rPr>
                <w:lang w:val="en-US"/>
              </w:rPr>
              <w:t>Potential</w:t>
            </w:r>
          </w:p>
        </w:tc>
        <w:tc>
          <w:tcPr>
            <w:tcW w:w="3378" w:type="dxa"/>
            <w:tcBorders>
              <w:top w:val="single" w:sz="4" w:space="0" w:color="000000"/>
              <w:left w:val="single" w:sz="4" w:space="0" w:color="auto"/>
              <w:bottom w:val="single" w:sz="4" w:space="0" w:color="auto"/>
              <w:right w:val="nil"/>
            </w:tcBorders>
            <w:vAlign w:val="center"/>
            <w:hideMark/>
          </w:tcPr>
          <w:p w14:paraId="62667E8E" w14:textId="77777777" w:rsidR="00194C77" w:rsidRDefault="00194C77" w:rsidP="002B5A54">
            <w:pPr>
              <w:autoSpaceDE w:val="0"/>
              <w:autoSpaceDN w:val="0"/>
              <w:adjustRightInd w:val="0"/>
              <w:spacing w:before="0" w:after="0"/>
              <w:jc w:val="center"/>
              <w:rPr>
                <w:lang w:val="en-US"/>
              </w:rPr>
            </w:pPr>
            <w:r>
              <w:rPr>
                <w:lang w:val="en-US"/>
              </w:rPr>
              <w:t>1</w:t>
            </w:r>
          </w:p>
        </w:tc>
      </w:tr>
    </w:tbl>
    <w:p w14:paraId="78C53CCC" w14:textId="77777777" w:rsidR="00194C77" w:rsidRDefault="00194C77" w:rsidP="00194C77">
      <w:pPr>
        <w:pStyle w:val="ListParagraph"/>
        <w:rPr>
          <w:iCs/>
          <w:lang w:val="en-US" w:eastAsia="en-US"/>
        </w:rPr>
      </w:pPr>
    </w:p>
    <w:p w14:paraId="41BA644E" w14:textId="0CA7BEBA" w:rsidR="00194C77" w:rsidRDefault="00194C77" w:rsidP="00194C77">
      <w:pPr>
        <w:rPr>
          <w:lang w:val="en-US" w:eastAsia="en-US"/>
        </w:rPr>
      </w:pPr>
      <w:r>
        <w:rPr>
          <w:lang w:val="en-US" w:eastAsia="en-US"/>
        </w:rPr>
        <w:t xml:space="preserve">The </w:t>
      </w:r>
      <w:r w:rsidRPr="002B5A54">
        <w:rPr>
          <w:lang w:val="en-US" w:eastAsia="en-US"/>
        </w:rPr>
        <w:t>Index Administrator</w:t>
      </w:r>
      <w:r>
        <w:rPr>
          <w:lang w:val="en-US" w:eastAsia="en-US"/>
        </w:rPr>
        <w:t xml:space="preserve"> has outsourced the determination of the </w:t>
      </w:r>
      <w:r>
        <w:rPr>
          <w:rFonts w:eastAsia="Calibri"/>
          <w:lang w:val="en-US" w:eastAsia="en-US"/>
        </w:rPr>
        <w:t>Index Universe</w:t>
      </w:r>
      <w:r>
        <w:rPr>
          <w:lang w:val="en-US" w:eastAsia="en-US"/>
        </w:rPr>
        <w:t xml:space="preserve"> to the </w:t>
      </w:r>
      <w:r w:rsidRPr="001D1C3B">
        <w:rPr>
          <w:rFonts w:eastAsiaTheme="minorEastAsia"/>
          <w:lang w:val="en-GB"/>
        </w:rPr>
        <w:t>Index Advisor</w:t>
      </w:r>
      <w:r>
        <w:rPr>
          <w:lang w:val="en-US" w:eastAsia="en-US"/>
        </w:rPr>
        <w:t xml:space="preserve">. Such outsourcing has been made in accordance with the requirements of the </w:t>
      </w:r>
      <w:r>
        <w:rPr>
          <w:smallCaps/>
          <w:lang w:val="en-US" w:eastAsia="en-US"/>
        </w:rPr>
        <w:t>BMR</w:t>
      </w:r>
      <w:r>
        <w:rPr>
          <w:lang w:val="en-US" w:eastAsia="en-US"/>
        </w:rPr>
        <w:t xml:space="preserve"> (Article 10 </w:t>
      </w:r>
      <w:r>
        <w:rPr>
          <w:smallCaps/>
          <w:lang w:val="en-US" w:eastAsia="en-US"/>
        </w:rPr>
        <w:t>BMR</w:t>
      </w:r>
      <w:r>
        <w:rPr>
          <w:lang w:val="en-US" w:eastAsia="en-US"/>
        </w:rPr>
        <w:t xml:space="preserve">). Any discretionary decision of the </w:t>
      </w:r>
      <w:r w:rsidRPr="001D1C3B">
        <w:rPr>
          <w:rFonts w:eastAsiaTheme="minorEastAsia"/>
          <w:lang w:val="en-GB"/>
        </w:rPr>
        <w:t>Index Advisor</w:t>
      </w:r>
      <w:r>
        <w:rPr>
          <w:lang w:val="en-US" w:eastAsia="en-US"/>
        </w:rPr>
        <w:t xml:space="preserve"> will be made in accordance with the specifications regarding the exercise of discretion or expert judgement established by the </w:t>
      </w:r>
      <w:r w:rsidRPr="002B5A54">
        <w:rPr>
          <w:lang w:val="en-US" w:eastAsia="en-US"/>
        </w:rPr>
        <w:t>Index Administrator</w:t>
      </w:r>
      <w:r>
        <w:rPr>
          <w:lang w:val="en-US" w:eastAsia="en-US"/>
        </w:rPr>
        <w:t>.</w:t>
      </w:r>
    </w:p>
    <w:p w14:paraId="1A4CAB2E" w14:textId="0A4FD3BD" w:rsidR="00194C77" w:rsidRDefault="00194C77" w:rsidP="00194C77">
      <w:pPr>
        <w:rPr>
          <w:lang w:val="en-US" w:eastAsia="en-US"/>
        </w:rPr>
      </w:pPr>
    </w:p>
    <w:p w14:paraId="044569E8" w14:textId="77777777" w:rsidR="00194C77" w:rsidRDefault="00194C77" w:rsidP="00194C77">
      <w:pPr>
        <w:rPr>
          <w:lang w:val="en-US"/>
        </w:rPr>
      </w:pPr>
      <w:proofErr w:type="gramStart"/>
      <w:r>
        <w:rPr>
          <w:rFonts w:ascii="Flama Semicondensed Medium" w:hAnsi="Flama Semicondensed Medium"/>
          <w:lang w:val="en-US"/>
        </w:rPr>
        <w:t>B</w:t>
      </w:r>
      <w:r w:rsidRPr="001D1C3B">
        <w:rPr>
          <w:rFonts w:ascii="Flama Semicondensed Medium" w:hAnsi="Flama Semicondensed Medium"/>
          <w:lang w:val="en-US"/>
        </w:rPr>
        <w:t>lockchain  Category</w:t>
      </w:r>
      <w:proofErr w:type="gramEnd"/>
      <w:r w:rsidRPr="001D1C3B">
        <w:rPr>
          <w:rFonts w:ascii="Flama Semicondensed Medium" w:hAnsi="Flama Semicondensed Medium"/>
          <w:lang w:val="en-US"/>
        </w:rPr>
        <w:t xml:space="preserve"> Score</w:t>
      </w:r>
      <w:r>
        <w:rPr>
          <w:rFonts w:ascii="Flama Semicondensed Medium" w:hAnsi="Flama Semicondensed Medium"/>
          <w:lang w:val="en-US"/>
        </w:rPr>
        <w:t xml:space="preserve">” </w:t>
      </w:r>
      <w:r>
        <w:rPr>
          <w:lang w:val="en-US"/>
        </w:rPr>
        <w:t>shall have the meaning as defined in Section 4.</w:t>
      </w:r>
    </w:p>
    <w:p w14:paraId="75FCACCA" w14:textId="77777777" w:rsidR="00194C77" w:rsidRDefault="00194C77" w:rsidP="00194C77">
      <w:pPr>
        <w:rPr>
          <w:lang w:val="en-US"/>
        </w:rPr>
      </w:pPr>
      <w:r w:rsidRPr="002B5A54">
        <w:rPr>
          <w:rFonts w:ascii="Flama Semicondensed Medium" w:hAnsi="Flama Semicondensed Medium"/>
          <w:lang w:val="en-US"/>
        </w:rPr>
        <w:t>“Index Administrator”</w:t>
      </w:r>
      <w:r>
        <w:rPr>
          <w:rFonts w:ascii="Flama Semicondensed Medium" w:hAnsi="Flama Semicondensed Medium"/>
          <w:lang w:val="en-US"/>
        </w:rPr>
        <w:t xml:space="preserve"> </w:t>
      </w:r>
      <w:r>
        <w:rPr>
          <w:lang w:val="en-US"/>
        </w:rPr>
        <w:t>shall have the meaning as defined in Section “Introduction”.</w:t>
      </w:r>
    </w:p>
    <w:p w14:paraId="337AACD6" w14:textId="77777777" w:rsidR="00194C77" w:rsidRDefault="00194C77" w:rsidP="00194C77">
      <w:pPr>
        <w:rPr>
          <w:lang w:val="en-US" w:eastAsia="en-US"/>
        </w:rPr>
      </w:pPr>
    </w:p>
    <w:p w14:paraId="6DF9425C" w14:textId="77777777" w:rsidR="00194C77" w:rsidRPr="00194C77" w:rsidRDefault="00194C77" w:rsidP="00194C77">
      <w:pPr>
        <w:rPr>
          <w:rFonts w:eastAsiaTheme="minorEastAsia"/>
          <w:lang w:val="en-GB"/>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7D953E98"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911D0C" w:rsidRPr="00383C2C">
        <w:rPr>
          <w:rFonts w:cs="Calibri"/>
          <w:color w:val="000000"/>
          <w:lang w:val="en-US" w:eastAsia="en-DE"/>
        </w:rPr>
        <w:t>CoinShares Blockchain Global Equity Index</w:t>
      </w:r>
      <w:r w:rsidR="00911D0C"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681D9F"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179B5154" w14:textId="77777777" w:rsidR="00911D0C" w:rsidRDefault="005055F5" w:rsidP="005055F5">
      <w:pPr>
        <w:spacing w:before="0" w:after="0" w:line="360" w:lineRule="auto"/>
        <w:rPr>
          <w:i/>
          <w:lang w:val="en-US"/>
        </w:rPr>
      </w:pPr>
      <w:r w:rsidRPr="00C04273">
        <w:rPr>
          <w:lang w:val="en-US"/>
        </w:rPr>
        <w:t xml:space="preserve">Stakeholders and third parties who are interested in participating in this Market Consultation, are invited to respond until </w:t>
      </w:r>
      <w:r w:rsidR="00911D0C" w:rsidRPr="00911D0C">
        <w:rPr>
          <w:i/>
          <w:lang w:val="en-US"/>
        </w:rPr>
        <w:t>April 14th</w:t>
      </w:r>
      <w:proofErr w:type="gramStart"/>
      <w:r w:rsidR="00911D0C" w:rsidRPr="00911D0C">
        <w:rPr>
          <w:i/>
          <w:lang w:val="en-US"/>
        </w:rPr>
        <w:t xml:space="preserve"> 2022</w:t>
      </w:r>
      <w:proofErr w:type="gramEnd"/>
      <w:r w:rsidR="00911D0C" w:rsidRPr="00911D0C">
        <w:rPr>
          <w:i/>
          <w:lang w:val="en-US"/>
        </w:rPr>
        <w:t xml:space="preserve"> (cob). </w:t>
      </w:r>
    </w:p>
    <w:p w14:paraId="0D223365" w14:textId="7A8E4731" w:rsidR="00651886" w:rsidRPr="00C04273" w:rsidRDefault="00911D0C" w:rsidP="005055F5">
      <w:pPr>
        <w:spacing w:before="0" w:after="0" w:line="360" w:lineRule="auto"/>
        <w:rPr>
          <w:lang w:val="en-US"/>
        </w:rPr>
      </w:pPr>
      <w:r>
        <w:rPr>
          <w:lang w:val="en-US"/>
        </w:rPr>
        <w:t>S</w:t>
      </w:r>
      <w:r w:rsidR="00651886" w:rsidRPr="00FE1081">
        <w:rPr>
          <w:lang w:val="en-US"/>
        </w:rPr>
        <w:t xml:space="preserve">ubject to feedback received on this Market Consultation, the changes mentioned </w:t>
      </w:r>
      <w:r w:rsidR="00651886" w:rsidRPr="00681D9F">
        <w:rPr>
          <w:lang w:val="en-US"/>
        </w:rPr>
        <w:t xml:space="preserve">above are intended to </w:t>
      </w:r>
      <w:r w:rsidR="00651886" w:rsidRPr="00FE1081">
        <w:rPr>
          <w:lang w:val="en-US"/>
        </w:rPr>
        <w:t xml:space="preserve">become effective </w:t>
      </w:r>
      <w:r w:rsidRPr="00911D0C">
        <w:rPr>
          <w:i/>
          <w:lang w:val="en-US"/>
        </w:rPr>
        <w:t>April 15th</w:t>
      </w:r>
      <w:proofErr w:type="gramStart"/>
      <w:r w:rsidRPr="00911D0C">
        <w:rPr>
          <w:i/>
          <w:lang w:val="en-US"/>
        </w:rPr>
        <w:t xml:space="preserve"> 2022</w:t>
      </w:r>
      <w:proofErr w:type="gramEnd"/>
      <w:r w:rsidRPr="00911D0C">
        <w:rPr>
          <w:i/>
          <w:lang w:val="en-US"/>
        </w:rPr>
        <w:t>.</w:t>
      </w:r>
    </w:p>
    <w:p w14:paraId="04131284" w14:textId="06417D4F"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911D0C" w:rsidRPr="00911D0C">
        <w:rPr>
          <w:lang w:val="en-US"/>
        </w:rPr>
        <w:t xml:space="preserve"> I</w:t>
      </w:r>
      <w:r w:rsidR="00DD3C44" w:rsidRPr="00C04273">
        <w:rPr>
          <w:lang w:val="en-US"/>
        </w:rPr>
        <w:t xml:space="preserve"> </w:t>
      </w:r>
      <w:r w:rsidR="00911D0C" w:rsidRPr="00383C2C">
        <w:rPr>
          <w:rFonts w:cs="Calibri"/>
          <w:color w:val="000000"/>
          <w:lang w:val="en-US" w:eastAsia="en-DE"/>
        </w:rPr>
        <w:t>CoinShares Blockchain Global Equity Index</w:t>
      </w:r>
      <w:r w:rsidR="00911D0C" w:rsidRPr="00C04273">
        <w:rPr>
          <w:lang w:val="en-US"/>
        </w:rPr>
        <w:t xml:space="preserve"> </w:t>
      </w:r>
      <w:r w:rsidRPr="00C04273">
        <w:rPr>
          <w:lang w:val="en-US"/>
        </w:rPr>
        <w:t xml:space="preserve">as the subject of the email, or </w:t>
      </w:r>
    </w:p>
    <w:p w14:paraId="6AB9F564" w14:textId="77777777" w:rsidR="005055F5" w:rsidRPr="00681D9F" w:rsidRDefault="005055F5" w:rsidP="005055F5">
      <w:pPr>
        <w:spacing w:after="0"/>
      </w:pPr>
      <w:r w:rsidRPr="00681D9F">
        <w:t>via postal mail to:</w:t>
      </w:r>
      <w:r w:rsidRPr="00681D9F">
        <w:tab/>
      </w:r>
      <w:r w:rsidRPr="00681D9F">
        <w:rPr>
          <w:b/>
          <w:bC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Pr="00681D9F" w:rsidRDefault="003D0D25" w:rsidP="003D0D25">
      <w:pPr>
        <w:spacing w:after="0"/>
        <w:ind w:left="1416" w:firstLine="708"/>
        <w:rPr>
          <w:lang w:val="en-US"/>
        </w:rPr>
      </w:pPr>
      <w:r w:rsidRPr="00681D9F">
        <w:rPr>
          <w:lang w:val="en-US"/>
        </w:rPr>
        <w:t xml:space="preserve">60327 Frankfurt am Main </w:t>
      </w:r>
    </w:p>
    <w:p w14:paraId="1FEC3B6F" w14:textId="4D5FF443" w:rsidR="005055F5" w:rsidRPr="00681D9F" w:rsidRDefault="003D0D25" w:rsidP="003D0D25">
      <w:pPr>
        <w:spacing w:after="0"/>
        <w:ind w:left="1416" w:firstLine="708"/>
        <w:rPr>
          <w:lang w:val="en-US"/>
        </w:rPr>
      </w:pPr>
      <w:r w:rsidRPr="00681D9F">
        <w:rPr>
          <w:lang w:val="en-US"/>
        </w:rPr>
        <w:t>Germany</w:t>
      </w:r>
    </w:p>
    <w:p w14:paraId="752A804F" w14:textId="7A894BF5" w:rsidR="00753C1C" w:rsidRPr="00681D9F"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above email address.</w:t>
      </w:r>
    </w:p>
    <w:p w14:paraId="0034008D" w14:textId="13CCFDF4" w:rsidR="00753C1C" w:rsidRPr="00681D9F"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681D9F" w:rsidRDefault="00466905" w:rsidP="00EE22E3">
                            <w:pPr>
                              <w:tabs>
                                <w:tab w:val="left" w:pos="993"/>
                              </w:tabs>
                              <w:contextualSpacing/>
                              <w:rPr>
                                <w:color w:val="FFFFFF" w:themeColor="background1"/>
                                <w:lang w:val="fr-BE" w:eastAsia="en-US"/>
                              </w:rPr>
                            </w:pPr>
                            <w:proofErr w:type="gramStart"/>
                            <w:r w:rsidRPr="00681D9F">
                              <w:rPr>
                                <w:color w:val="FFFFFF" w:themeColor="background1"/>
                                <w:lang w:val="fr-BE" w:eastAsia="en-US"/>
                              </w:rPr>
                              <w:t>Website:</w:t>
                            </w:r>
                            <w:proofErr w:type="gramEnd"/>
                            <w:r w:rsidRPr="00681D9F">
                              <w:rPr>
                                <w:color w:val="FFFFFF" w:themeColor="background1"/>
                                <w:lang w:val="fr-BE" w:eastAsia="en-US"/>
                              </w:rPr>
                              <w:tab/>
                            </w:r>
                            <w:hyperlink r:id="rId13" w:history="1">
                              <w:r w:rsidRPr="00681D9F">
                                <w:rPr>
                                  <w:rStyle w:val="Hyperlink"/>
                                  <w:color w:val="FFFFFF" w:themeColor="background1"/>
                                  <w:lang w:val="fr-BE" w:eastAsia="en-US"/>
                                </w:rPr>
                                <w:t>www.solactive.com</w:t>
                              </w:r>
                            </w:hyperlink>
                            <w:r w:rsidRPr="00681D9F">
                              <w:rPr>
                                <w:color w:val="FFFFFF" w:themeColor="background1"/>
                                <w:lang w:val="fr-BE" w:eastAsia="en-US"/>
                              </w:rPr>
                              <w:t xml:space="preserve"> </w:t>
                            </w:r>
                          </w:p>
                          <w:p w14:paraId="7C95E775" w14:textId="77777777" w:rsidR="00466905" w:rsidRPr="00681D9F" w:rsidRDefault="00466905" w:rsidP="00EE22E3">
                            <w:pPr>
                              <w:tabs>
                                <w:tab w:val="left" w:pos="993"/>
                              </w:tabs>
                              <w:contextualSpacing/>
                              <w:rPr>
                                <w:color w:val="FFFFFF" w:themeColor="background1"/>
                                <w:lang w:val="fr-BE"/>
                              </w:rPr>
                            </w:pPr>
                          </w:p>
                          <w:p w14:paraId="1DDD5EBB" w14:textId="77777777" w:rsidR="00466905" w:rsidRPr="00681D9F" w:rsidRDefault="00466905" w:rsidP="00EE22E3">
                            <w:pPr>
                              <w:tabs>
                                <w:tab w:val="left" w:pos="993"/>
                              </w:tabs>
                              <w:contextualSpacing/>
                              <w:rPr>
                                <w:color w:val="FFFFFF" w:themeColor="background1"/>
                                <w:lang w:val="fr-BE"/>
                              </w:rPr>
                            </w:pPr>
                            <w:r w:rsidRPr="00681D9F">
                              <w:rPr>
                                <w:color w:val="FFFFFF" w:themeColor="background1"/>
                                <w:lang w:val="fr-BE"/>
                              </w:rPr>
                              <w:t>© Solactive AG</w:t>
                            </w:r>
                          </w:p>
                          <w:p w14:paraId="5087DCB6" w14:textId="77777777" w:rsidR="00466905" w:rsidRPr="00681D9F" w:rsidRDefault="00466905" w:rsidP="00EE22E3">
                            <w:pPr>
                              <w:rPr>
                                <w:color w:val="FFFFFF" w:themeColor="background1"/>
                                <w:lang w:val="fr-BE"/>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681D9F" w:rsidRDefault="00466905" w:rsidP="00EE22E3">
                      <w:pPr>
                        <w:tabs>
                          <w:tab w:val="left" w:pos="993"/>
                        </w:tabs>
                        <w:contextualSpacing/>
                        <w:rPr>
                          <w:color w:val="FFFFFF" w:themeColor="background1"/>
                          <w:lang w:val="fr-BE" w:eastAsia="en-US"/>
                        </w:rPr>
                      </w:pPr>
                      <w:proofErr w:type="gramStart"/>
                      <w:r w:rsidRPr="00681D9F">
                        <w:rPr>
                          <w:color w:val="FFFFFF" w:themeColor="background1"/>
                          <w:lang w:val="fr-BE" w:eastAsia="en-US"/>
                        </w:rPr>
                        <w:t>Website:</w:t>
                      </w:r>
                      <w:proofErr w:type="gramEnd"/>
                      <w:r w:rsidRPr="00681D9F">
                        <w:rPr>
                          <w:color w:val="FFFFFF" w:themeColor="background1"/>
                          <w:lang w:val="fr-BE" w:eastAsia="en-US"/>
                        </w:rPr>
                        <w:tab/>
                      </w:r>
                      <w:hyperlink r:id="rId15" w:history="1">
                        <w:r w:rsidRPr="00681D9F">
                          <w:rPr>
                            <w:rStyle w:val="Hyperlink"/>
                            <w:color w:val="FFFFFF" w:themeColor="background1"/>
                            <w:lang w:val="fr-BE" w:eastAsia="en-US"/>
                          </w:rPr>
                          <w:t>www.solactive.com</w:t>
                        </w:r>
                      </w:hyperlink>
                      <w:r w:rsidRPr="00681D9F">
                        <w:rPr>
                          <w:color w:val="FFFFFF" w:themeColor="background1"/>
                          <w:lang w:val="fr-BE" w:eastAsia="en-US"/>
                        </w:rPr>
                        <w:t xml:space="preserve"> </w:t>
                      </w:r>
                    </w:p>
                    <w:p w14:paraId="7C95E775" w14:textId="77777777" w:rsidR="00466905" w:rsidRPr="00681D9F" w:rsidRDefault="00466905" w:rsidP="00EE22E3">
                      <w:pPr>
                        <w:tabs>
                          <w:tab w:val="left" w:pos="993"/>
                        </w:tabs>
                        <w:contextualSpacing/>
                        <w:rPr>
                          <w:color w:val="FFFFFF" w:themeColor="background1"/>
                          <w:lang w:val="fr-BE"/>
                        </w:rPr>
                      </w:pPr>
                    </w:p>
                    <w:p w14:paraId="1DDD5EBB" w14:textId="77777777" w:rsidR="00466905" w:rsidRPr="00681D9F" w:rsidRDefault="00466905" w:rsidP="00EE22E3">
                      <w:pPr>
                        <w:tabs>
                          <w:tab w:val="left" w:pos="993"/>
                        </w:tabs>
                        <w:contextualSpacing/>
                        <w:rPr>
                          <w:color w:val="FFFFFF" w:themeColor="background1"/>
                          <w:lang w:val="fr-BE"/>
                        </w:rPr>
                      </w:pPr>
                      <w:r w:rsidRPr="00681D9F">
                        <w:rPr>
                          <w:color w:val="FFFFFF" w:themeColor="background1"/>
                          <w:lang w:val="fr-BE"/>
                        </w:rPr>
                        <w:t>© Solactive AG</w:t>
                      </w:r>
                    </w:p>
                    <w:p w14:paraId="5087DCB6" w14:textId="77777777" w:rsidR="00466905" w:rsidRPr="00681D9F" w:rsidRDefault="00466905" w:rsidP="00EE22E3">
                      <w:pPr>
                        <w:rPr>
                          <w:color w:val="FFFFFF" w:themeColor="background1"/>
                          <w:lang w:val="fr-BE"/>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A909EFD-CAC7-468B-89D5-3EF4EE5EA230}"/>
  </w:font>
  <w:font w:name="Flama Semicondensed Light">
    <w:panose1 w:val="02000000000000000000"/>
    <w:charset w:val="00"/>
    <w:family w:val="auto"/>
    <w:pitch w:val="variable"/>
    <w:sig w:usb0="A00000AF" w:usb1="4000207B" w:usb2="00000000" w:usb3="00000000" w:csb0="0000008B" w:csb1="00000000"/>
    <w:embedRegular r:id="rId2" w:fontKey="{5FF5144F-16B7-4F07-A78D-BF98CC460E6C}"/>
    <w:embedBold r:id="rId3" w:fontKey="{11598C9C-51C1-4F76-8075-B180FF54AD2E}"/>
    <w:embedItalic r:id="rId4" w:fontKey="{5F9DDEE6-1877-45E4-A039-AC5F0B62B6B6}"/>
  </w:font>
  <w:font w:name="Segoe UI">
    <w:panose1 w:val="020B0502040204020203"/>
    <w:charset w:val="00"/>
    <w:family w:val="swiss"/>
    <w:pitch w:val="variable"/>
    <w:sig w:usb0="E4002EFF" w:usb1="C000E47F" w:usb2="00000009" w:usb3="00000000" w:csb0="000001FF" w:csb1="00000000"/>
    <w:embedRegular r:id="rId5" w:fontKey="{EC88D31F-E233-442D-A48D-BC45618582D4}"/>
  </w:font>
  <w:font w:name="Flama Semicondensed Medium">
    <w:panose1 w:val="02000000000000000000"/>
    <w:charset w:val="00"/>
    <w:family w:val="auto"/>
    <w:pitch w:val="variable"/>
    <w:sig w:usb0="A00000AF" w:usb1="4000207B" w:usb2="00000000" w:usb3="00000000" w:csb0="0000008B" w:csb1="00000000"/>
    <w:embedRegular r:id="rId6" w:fontKey="{97DC41A3-A63D-4E77-B23F-A31983CF49DA}"/>
    <w:embedBold r:id="rId7" w:fontKey="{ACF14833-135B-499E-83C8-81F6D842B90A}"/>
  </w:font>
  <w:font w:name="Cambria Math">
    <w:panose1 w:val="02040503050406030204"/>
    <w:charset w:val="00"/>
    <w:family w:val="roman"/>
    <w:pitch w:val="variable"/>
    <w:sig w:usb0="E00006FF" w:usb1="420024FF" w:usb2="02000000" w:usb3="00000000" w:csb0="0000019F" w:csb1="00000000"/>
    <w:embedRegular r:id="rId8" w:fontKey="{368333B5-80EF-4058-9AA1-995E047FCA76}"/>
    <w:embedItalic r:id="rId9" w:fontKey="{E9DEC7CD-99A1-41C1-ADD2-964547118ABC}"/>
  </w:font>
  <w:font w:name="Calibri Light">
    <w:panose1 w:val="020F0302020204030204"/>
    <w:charset w:val="00"/>
    <w:family w:val="swiss"/>
    <w:pitch w:val="variable"/>
    <w:sig w:usb0="E4002EFF" w:usb1="C000247B" w:usb2="00000009" w:usb3="00000000" w:csb0="000001FF" w:csb1="00000000"/>
    <w:embedRegular r:id="rId10" w:fontKey="{C8C5BA41-DC8C-4631-91A3-15B1D1A59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56EF4E8A"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681D9F">
          <w:rPr>
            <w:lang w:val="en-US"/>
          </w:rPr>
          <w:t>Market Consultation CoinShares Blockchain Global Equity Index GUIDELINE CHANGE</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8" type="#_x0000_t75" style="width:25.9pt;height:19.9pt" o:bullet="t">
        <v:imagedata r:id="rId1" o:title="S_Icons-Haken_02"/>
      </v:shape>
    </w:pict>
  </w:numPicBullet>
  <w:numPicBullet w:numPicBulletId="1">
    <w:pict>
      <v:shape id="_x0000_i1299" type="#_x0000_t75" style="width:19.9pt;height:19.9pt" o:bullet="t">
        <v:imagedata r:id="rId2" o:title="S_Icons-Pfeil_02"/>
      </v:shape>
    </w:pict>
  </w:numPicBullet>
  <w:numPicBullet w:numPicBulletId="2">
    <w:pict>
      <v:shape id="_x0000_i1300" type="#_x0000_t75" style="width:15.35pt;height:15.85pt" o:bullet="t">
        <v:imagedata r:id="rId3" o:title="Bullet_2_Indices_Small"/>
      </v:shape>
    </w:pict>
  </w:numPicBullet>
  <w:numPicBullet w:numPicBulletId="3">
    <w:pict>
      <v:shape id="_x0000_i130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360" w:hanging="360"/>
      </w:p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5"/>
  </w:num>
  <w:num w:numId="4">
    <w:abstractNumId w:val="19"/>
  </w:num>
  <w:num w:numId="5">
    <w:abstractNumId w:val="14"/>
  </w:num>
  <w:num w:numId="6">
    <w:abstractNumId w:val="7"/>
  </w:num>
  <w:num w:numId="7">
    <w:abstractNumId w:val="18"/>
  </w:num>
  <w:num w:numId="8">
    <w:abstractNumId w:val="3"/>
  </w:num>
  <w:num w:numId="9">
    <w:abstractNumId w:val="12"/>
  </w:num>
  <w:num w:numId="10">
    <w:abstractNumId w:val="11"/>
  </w:num>
  <w:num w:numId="11">
    <w:abstractNumId w:val="2"/>
  </w:num>
  <w:num w:numId="12">
    <w:abstractNumId w:val="1"/>
  </w:num>
  <w:num w:numId="13">
    <w:abstractNumId w:val="13"/>
  </w:num>
  <w:num w:numId="14">
    <w:abstractNumId w:val="9"/>
  </w:num>
  <w:num w:numId="15">
    <w:abstractNumId w:val="4"/>
  </w:num>
  <w:num w:numId="16">
    <w:abstractNumId w:val="10"/>
  </w:num>
  <w:num w:numId="17">
    <w:abstractNumId w:val="20"/>
  </w:num>
  <w:num w:numId="18">
    <w:abstractNumId w:val="8"/>
  </w:num>
  <w:num w:numId="19">
    <w:abstractNumId w:val="16"/>
  </w:num>
  <w:num w:numId="20">
    <w:abstractNumId w:val="1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4C77"/>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1D9F"/>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1D0C"/>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E22BF"/>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D0C"/>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194C77"/>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rsid w:val="00194C77"/>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8</Pages>
  <Words>1123</Words>
  <Characters>6402</Characters>
  <Application>Microsoft Office Word</Application>
  <DocSecurity>0</DocSecurity>
  <Lines>53</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CoinShares Blockchain Global Equity Index GUIDELINE CHANGE</dc:title>
  <dc:subject>Calculation Documents &amp; Methodologies</dc:subject>
  <dc:creator>Solactive AG</dc:creator>
  <cp:keywords/>
  <dc:description/>
  <cp:lastModifiedBy>Assamoi, Santony</cp:lastModifiedBy>
  <cp:revision>16</cp:revision>
  <cp:lastPrinted>2018-12-10T16:54:00Z</cp:lastPrinted>
  <dcterms:created xsi:type="dcterms:W3CDTF">2021-11-16T06:38:00Z</dcterms:created>
  <dcterms:modified xsi:type="dcterms:W3CDTF">2022-03-31T16:26:00Z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